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9AEF" w14:textId="77777777" w:rsidR="00455EAA" w:rsidRPr="00E22BD8" w:rsidRDefault="00455EAA" w:rsidP="00455EAA">
      <w:pPr>
        <w:jc w:val="right"/>
        <w:rPr>
          <w:rFonts w:ascii="Arial Black" w:hAnsi="Arial Black"/>
          <w:caps/>
          <w:sz w:val="15"/>
        </w:rPr>
      </w:pPr>
      <w:r w:rsidRPr="00E22BD8">
        <w:rPr>
          <w:rFonts w:cs="Times New Roman"/>
          <w:noProof/>
        </w:rPr>
        <w:drawing>
          <wp:inline distT="0" distB="0" distL="0" distR="0" wp14:anchorId="2B2BFFDD" wp14:editId="5203932E">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E4DABA6" w14:textId="4AA5F00B" w:rsidR="00455EAA" w:rsidRPr="00E22BD8" w:rsidRDefault="00455EAA" w:rsidP="00455EAA">
      <w:pPr>
        <w:pBdr>
          <w:top w:val="single" w:sz="4" w:space="10" w:color="auto"/>
        </w:pBdr>
        <w:wordWrap w:val="0"/>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32</w:t>
      </w:r>
      <w:r w:rsidRPr="00E22BD8">
        <w:rPr>
          <w:rFonts w:ascii="Arial Black" w:hAnsi="Arial Black"/>
          <w:b/>
          <w:caps/>
          <w:sz w:val="15"/>
        </w:rPr>
        <w:t>/</w:t>
      </w:r>
      <w:bookmarkStart w:id="0" w:name="Code"/>
      <w:r>
        <w:rPr>
          <w:rFonts w:ascii="Arial Black" w:hAnsi="Arial Black"/>
          <w:b/>
          <w:caps/>
          <w:sz w:val="15"/>
        </w:rPr>
        <w:t>3</w:t>
      </w:r>
    </w:p>
    <w:bookmarkEnd w:id="0"/>
    <w:p w14:paraId="64BEDD90" w14:textId="77777777" w:rsidR="00455EAA" w:rsidRPr="00E22BD8" w:rsidRDefault="00455EAA" w:rsidP="00455EAA">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0946CA7D" w14:textId="235A9D2C" w:rsidR="00455EAA" w:rsidRPr="00E22BD8" w:rsidRDefault="00455EAA" w:rsidP="00455EAA">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4</w:t>
      </w:r>
      <w:r w:rsidRPr="00E22BD8">
        <w:rPr>
          <w:rFonts w:ascii="SimHei" w:eastAsia="SimHei" w:hAnsi="Times New Roman" w:hint="eastAsia"/>
          <w:b/>
          <w:sz w:val="15"/>
          <w:szCs w:val="15"/>
        </w:rPr>
        <w:t>年</w:t>
      </w:r>
      <w:r>
        <w:rPr>
          <w:rFonts w:ascii="Arial Black" w:eastAsia="SimHei" w:hAnsi="Arial Black"/>
          <w:b/>
          <w:sz w:val="15"/>
          <w:szCs w:val="15"/>
          <w:lang w:val="pt-BR"/>
        </w:rPr>
        <w:t>3</w:t>
      </w:r>
      <w:r w:rsidRPr="00E22BD8">
        <w:rPr>
          <w:rFonts w:ascii="SimHei" w:eastAsia="SimHei" w:hAnsi="Times New Roman" w:hint="eastAsia"/>
          <w:b/>
          <w:sz w:val="15"/>
          <w:szCs w:val="15"/>
        </w:rPr>
        <w:t>月</w:t>
      </w:r>
      <w:r>
        <w:rPr>
          <w:rFonts w:ascii="Arial Black" w:eastAsia="SimHei" w:hAnsi="Arial Black"/>
          <w:b/>
          <w:sz w:val="15"/>
          <w:szCs w:val="15"/>
          <w:lang w:val="pt-BR"/>
        </w:rPr>
        <w:t>20</w:t>
      </w:r>
      <w:r w:rsidRPr="00E22BD8">
        <w:rPr>
          <w:rFonts w:ascii="SimHei" w:eastAsia="SimHei" w:hAnsi="Times New Roman" w:hint="eastAsia"/>
          <w:b/>
          <w:sz w:val="15"/>
          <w:szCs w:val="15"/>
        </w:rPr>
        <w:t>日</w:t>
      </w:r>
      <w:bookmarkEnd w:id="2"/>
    </w:p>
    <w:p w14:paraId="7BD2C378" w14:textId="77777777" w:rsidR="00455EAA" w:rsidRPr="00E22BD8" w:rsidRDefault="00455EAA" w:rsidP="00455EAA">
      <w:pPr>
        <w:spacing w:after="600"/>
        <w:rPr>
          <w:rFonts w:ascii="SimHei" w:eastAsia="SimHei"/>
          <w:sz w:val="28"/>
          <w:szCs w:val="28"/>
        </w:rPr>
      </w:pPr>
      <w:r w:rsidRPr="00E22BD8">
        <w:rPr>
          <w:rFonts w:ascii="SimHei" w:eastAsia="SimHei" w:hint="eastAsia"/>
          <w:sz w:val="28"/>
          <w:szCs w:val="28"/>
        </w:rPr>
        <w:t>发展与知识产权委员会（CDIP）</w:t>
      </w:r>
    </w:p>
    <w:p w14:paraId="5FA1DD49" w14:textId="77777777" w:rsidR="00455EAA" w:rsidRPr="0080619C" w:rsidRDefault="00455EAA" w:rsidP="00455EAA">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三十二</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4</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29</w:t>
      </w:r>
      <w:r w:rsidRPr="0080619C">
        <w:rPr>
          <w:rFonts w:ascii="KaiTi" w:eastAsia="KaiTi" w:hAnsi="KaiTi" w:hint="eastAsia"/>
          <w:b/>
          <w:sz w:val="24"/>
        </w:rPr>
        <w:t>日至</w:t>
      </w:r>
      <w:r>
        <w:rPr>
          <w:rFonts w:ascii="KaiTi" w:eastAsia="KaiTi" w:hAnsi="KaiTi"/>
          <w:sz w:val="24"/>
        </w:rPr>
        <w:t>5</w:t>
      </w:r>
      <w:r w:rsidRPr="0080619C">
        <w:rPr>
          <w:rFonts w:ascii="KaiTi" w:eastAsia="KaiTi" w:hAnsi="KaiTi" w:hint="eastAsia"/>
          <w:b/>
          <w:sz w:val="24"/>
        </w:rPr>
        <w:t>月</w:t>
      </w:r>
      <w:r>
        <w:rPr>
          <w:rFonts w:ascii="KaiTi" w:eastAsia="KaiTi" w:hAnsi="KaiTi"/>
          <w:sz w:val="24"/>
        </w:rPr>
        <w:t>3</w:t>
      </w:r>
      <w:r w:rsidRPr="0080619C">
        <w:rPr>
          <w:rFonts w:ascii="KaiTi" w:eastAsia="KaiTi" w:hAnsi="KaiTi" w:hint="eastAsia"/>
          <w:b/>
          <w:sz w:val="24"/>
        </w:rPr>
        <w:t>日，日内瓦</w:t>
      </w:r>
    </w:p>
    <w:p w14:paraId="5FB31BC0" w14:textId="752EBEA2" w:rsidR="00455EAA" w:rsidRPr="003142A5" w:rsidRDefault="00455EAA" w:rsidP="00455EAA">
      <w:pPr>
        <w:spacing w:after="360"/>
        <w:rPr>
          <w:rFonts w:ascii="KaiTi" w:eastAsia="KaiTi" w:hAnsi="KaiTi" w:cs="Times New Roman"/>
          <w:sz w:val="24"/>
          <w:szCs w:val="32"/>
        </w:rPr>
      </w:pPr>
      <w:bookmarkStart w:id="3" w:name="TitleOfDoc"/>
      <w:r w:rsidRPr="00455EAA">
        <w:rPr>
          <w:rFonts w:ascii="KaiTi" w:eastAsia="KaiTi" w:hAnsi="KaiTi" w:cs="Times New Roman" w:hint="eastAsia"/>
          <w:sz w:val="24"/>
          <w:szCs w:val="32"/>
        </w:rPr>
        <w:t>关于产权组织对落实可持续发展目标及其相关具体目标所作贡献的报告</w:t>
      </w:r>
    </w:p>
    <w:p w14:paraId="753C739B" w14:textId="77777777" w:rsidR="00455EAA" w:rsidRPr="006646AD" w:rsidRDefault="00455EAA" w:rsidP="00455EAA">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秘书处编拟</w:t>
      </w:r>
    </w:p>
    <w:bookmarkEnd w:id="4"/>
    <w:p w14:paraId="1551BC3F"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本文件载有关于世界知识产权组织</w:t>
      </w:r>
      <w:r w:rsidRPr="001E4AB5">
        <w:rPr>
          <w:rFonts w:asciiTheme="minorEastAsia" w:eastAsiaTheme="minorEastAsia" w:hAnsiTheme="minorEastAsia"/>
          <w:sz w:val="21"/>
          <w:szCs w:val="21"/>
        </w:rPr>
        <w:t>（</w:t>
      </w:r>
      <w:r w:rsidRPr="00BE595B">
        <w:rPr>
          <w:rFonts w:ascii="SimSun" w:hAnsi="SimSun"/>
          <w:sz w:val="21"/>
          <w:szCs w:val="21"/>
        </w:rPr>
        <w:t>产权组织</w:t>
      </w:r>
      <w:r w:rsidRPr="001E4AB5">
        <w:rPr>
          <w:rFonts w:asciiTheme="minorEastAsia" w:eastAsiaTheme="minorEastAsia" w:hAnsiTheme="minorEastAsia"/>
          <w:sz w:val="21"/>
          <w:szCs w:val="21"/>
        </w:rPr>
        <w:t>）</w:t>
      </w:r>
      <w:r w:rsidRPr="00BE595B">
        <w:rPr>
          <w:rFonts w:ascii="SimSun" w:hAnsi="SimSun"/>
          <w:sz w:val="21"/>
          <w:szCs w:val="21"/>
        </w:rPr>
        <w:t>对落实可持续发展目标及其相关具体目标所作贡献的年度报告。</w:t>
      </w:r>
      <w:r w:rsidRPr="00BE595B">
        <w:rPr>
          <w:rStyle w:val="FootnoteReference"/>
          <w:rFonts w:ascii="SimSun" w:hAnsi="SimSun"/>
          <w:sz w:val="21"/>
          <w:szCs w:val="21"/>
        </w:rPr>
        <w:footnoteReference w:id="2"/>
      </w:r>
      <w:r w:rsidRPr="00BE595B">
        <w:rPr>
          <w:rFonts w:ascii="SimSun" w:hAnsi="SimSun"/>
          <w:sz w:val="21"/>
          <w:szCs w:val="21"/>
        </w:rPr>
        <w:t>本报告是对发展与知识产权委员会</w:t>
      </w:r>
      <w:r w:rsidRPr="001E4AB5">
        <w:rPr>
          <w:rFonts w:asciiTheme="minorEastAsia" w:eastAsiaTheme="minorEastAsia" w:hAnsiTheme="minorEastAsia"/>
          <w:sz w:val="21"/>
          <w:szCs w:val="21"/>
        </w:rPr>
        <w:t>（</w:t>
      </w:r>
      <w:r w:rsidRPr="00BE595B">
        <w:rPr>
          <w:rFonts w:ascii="SimSun" w:hAnsi="SimSun"/>
          <w:sz w:val="21"/>
          <w:szCs w:val="21"/>
        </w:rPr>
        <w:t>CDIP</w:t>
      </w:r>
      <w:r w:rsidRPr="001E4AB5">
        <w:rPr>
          <w:rFonts w:asciiTheme="minorEastAsia" w:eastAsiaTheme="minorEastAsia" w:hAnsiTheme="minorEastAsia"/>
          <w:sz w:val="21"/>
          <w:szCs w:val="21"/>
        </w:rPr>
        <w:t>）</w:t>
      </w:r>
      <w:r w:rsidRPr="00BE595B">
        <w:rPr>
          <w:rFonts w:ascii="SimSun" w:hAnsi="SimSun"/>
          <w:sz w:val="21"/>
          <w:szCs w:val="21"/>
        </w:rPr>
        <w:t>在2016年10月31日至11月4日举行的第十八届会议上做出的决定的回应，该决定要求秘书处在委员会每年第一次会议上提交一份相关年度报告。</w:t>
      </w:r>
    </w:p>
    <w:p w14:paraId="168D1968" w14:textId="688DC375"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这是根据该要求提交CDIP的第八份报告。基于上述决定中所载的结构，报告提供了2023年与可持续发展目标有关的最新信息：</w:t>
      </w:r>
    </w:p>
    <w:p w14:paraId="52C9D123" w14:textId="2190591D" w:rsidR="00154FA1" w:rsidRPr="00BE595B" w:rsidRDefault="00154FA1" w:rsidP="00433470">
      <w:pPr>
        <w:overflowPunct w:val="0"/>
        <w:spacing w:afterLines="50" w:after="120" w:line="340" w:lineRule="atLeast"/>
        <w:ind w:left="924"/>
        <w:contextualSpacing/>
        <w:jc w:val="both"/>
        <w:rPr>
          <w:rFonts w:ascii="SimSun" w:hAnsi="SimSun"/>
          <w:sz w:val="21"/>
          <w:szCs w:val="21"/>
        </w:rPr>
      </w:pPr>
      <w:r w:rsidRPr="00BE595B">
        <w:rPr>
          <w:rFonts w:ascii="SimSun" w:hAnsi="SimSun"/>
          <w:sz w:val="21"/>
          <w:szCs w:val="21"/>
        </w:rPr>
        <w:fldChar w:fldCharType="begin"/>
      </w:r>
      <w:r w:rsidRPr="00BE595B">
        <w:rPr>
          <w:rFonts w:ascii="SimSun" w:hAnsi="SimSun"/>
          <w:sz w:val="21"/>
          <w:szCs w:val="21"/>
        </w:rPr>
        <w:instrText xml:space="preserve"> </w:instrText>
      </w:r>
      <w:r w:rsidRPr="00BE595B">
        <w:rPr>
          <w:rFonts w:ascii="SimSun" w:hAnsi="SimSun" w:hint="eastAsia"/>
          <w:sz w:val="21"/>
          <w:szCs w:val="21"/>
        </w:rPr>
        <w:instrText>= 1 \* CHINESENUM3</w:instrText>
      </w:r>
      <w:r w:rsidRPr="00BE595B">
        <w:rPr>
          <w:rFonts w:ascii="SimSun" w:hAnsi="SimSun"/>
          <w:sz w:val="21"/>
          <w:szCs w:val="21"/>
        </w:rPr>
        <w:instrText xml:space="preserve"> </w:instrText>
      </w:r>
      <w:r w:rsidRPr="00BE595B">
        <w:rPr>
          <w:rFonts w:ascii="SimSun" w:hAnsi="SimSun"/>
          <w:sz w:val="21"/>
          <w:szCs w:val="21"/>
        </w:rPr>
        <w:fldChar w:fldCharType="separate"/>
      </w:r>
      <w:r w:rsidRPr="00BE595B">
        <w:rPr>
          <w:rFonts w:ascii="SimSun" w:hAnsi="SimSun" w:hint="eastAsia"/>
          <w:noProof/>
          <w:sz w:val="21"/>
          <w:szCs w:val="21"/>
        </w:rPr>
        <w:t>一</w:t>
      </w:r>
      <w:r w:rsidRPr="00BE595B">
        <w:rPr>
          <w:rFonts w:ascii="SimSun" w:hAnsi="SimSun"/>
          <w:sz w:val="21"/>
          <w:szCs w:val="21"/>
        </w:rPr>
        <w:fldChar w:fldCharType="end"/>
      </w:r>
      <w:r w:rsidRPr="00BE595B">
        <w:rPr>
          <w:rFonts w:ascii="SimSun" w:hAnsi="SimSun" w:hint="eastAsia"/>
          <w:sz w:val="21"/>
          <w:szCs w:val="21"/>
        </w:rPr>
        <w:t>、</w:t>
      </w:r>
      <w:r w:rsidRPr="00BE595B">
        <w:rPr>
          <w:rFonts w:ascii="SimSun" w:hAnsi="SimSun"/>
          <w:sz w:val="21"/>
          <w:szCs w:val="21"/>
        </w:rPr>
        <w:t>产权组织独自开展的活动和倡议；</w:t>
      </w:r>
    </w:p>
    <w:p w14:paraId="29DA0178" w14:textId="39B77FCF" w:rsidR="00154FA1" w:rsidRPr="00BE595B" w:rsidRDefault="00154FA1" w:rsidP="00433470">
      <w:pPr>
        <w:overflowPunct w:val="0"/>
        <w:spacing w:afterLines="50" w:after="120" w:line="340" w:lineRule="atLeast"/>
        <w:ind w:left="924"/>
        <w:contextualSpacing/>
        <w:jc w:val="both"/>
        <w:rPr>
          <w:rFonts w:ascii="SimSun" w:hAnsi="SimSun"/>
          <w:sz w:val="21"/>
          <w:szCs w:val="21"/>
        </w:rPr>
      </w:pPr>
      <w:r w:rsidRPr="00BE595B">
        <w:rPr>
          <w:rFonts w:ascii="SimSun" w:hAnsi="SimSun" w:hint="eastAsia"/>
          <w:sz w:val="21"/>
          <w:szCs w:val="21"/>
        </w:rPr>
        <w:t>二、</w:t>
      </w:r>
      <w:r w:rsidRPr="00BE595B">
        <w:rPr>
          <w:rFonts w:ascii="SimSun" w:hAnsi="SimSun"/>
          <w:sz w:val="21"/>
          <w:szCs w:val="21"/>
        </w:rPr>
        <w:t>产权组织作为联合国系统的一部分开展的活动；以及</w:t>
      </w:r>
    </w:p>
    <w:p w14:paraId="2E7C5B22" w14:textId="77777777" w:rsidR="0027157B" w:rsidRDefault="00154FA1" w:rsidP="00433470">
      <w:pPr>
        <w:overflowPunct w:val="0"/>
        <w:spacing w:afterLines="50" w:after="120" w:line="340" w:lineRule="atLeast"/>
        <w:ind w:left="924"/>
        <w:contextualSpacing/>
        <w:jc w:val="both"/>
        <w:rPr>
          <w:rFonts w:ascii="SimSun" w:hAnsi="SimSun"/>
          <w:sz w:val="21"/>
          <w:szCs w:val="21"/>
        </w:rPr>
      </w:pPr>
      <w:r w:rsidRPr="00BE595B">
        <w:rPr>
          <w:rFonts w:ascii="SimSun" w:hAnsi="SimSun" w:hint="eastAsia"/>
          <w:sz w:val="21"/>
          <w:szCs w:val="21"/>
        </w:rPr>
        <w:t>三、</w:t>
      </w:r>
      <w:r w:rsidRPr="00BE595B">
        <w:rPr>
          <w:rFonts w:ascii="SimSun" w:hAnsi="SimSun"/>
          <w:sz w:val="21"/>
          <w:szCs w:val="21"/>
        </w:rPr>
        <w:t>产权组织应成员国要求向其提供的援助。</w:t>
      </w:r>
    </w:p>
    <w:p w14:paraId="238E9809" w14:textId="3E145E8F" w:rsidR="001E4AB5"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本报告所述期间，产权组织在其任务授权范围内全面参与了2030年议程的实施。在发展议程的指导下，本组织支持实现可持续发展目标，推动平衡有效的知识产权制度，鼓励创新和创造，促进各国国内和国家之间知识和技术专长的流动。</w:t>
      </w:r>
      <w:r w:rsidRPr="00BE595B">
        <w:rPr>
          <w:rStyle w:val="ui-provider"/>
          <w:rFonts w:ascii="SimSun" w:hAnsi="SimSun"/>
          <w:sz w:val="21"/>
          <w:szCs w:val="21"/>
        </w:rPr>
        <w:t>虽然产权组织的工作主要涉及可持续发展目标9，但由于创新和创造对实现许多其他目标和具体目标十分重要，产权组织也为这些目标做出了贡献。</w:t>
      </w:r>
    </w:p>
    <w:p w14:paraId="41F883CA" w14:textId="6EC8BF7F" w:rsidR="002A674D" w:rsidRPr="00EA5ACD" w:rsidRDefault="00F351BA" w:rsidP="00EA5ACD">
      <w:pPr>
        <w:pStyle w:val="Heading1"/>
        <w:keepLines/>
        <w:overflowPunct w:val="0"/>
        <w:spacing w:beforeLines="100" w:afterLines="50" w:after="120" w:line="340" w:lineRule="exact"/>
        <w:jc w:val="both"/>
        <w:rPr>
          <w:rFonts w:ascii="SimHei" w:eastAsia="SimHei" w:hAnsi="SimHei"/>
          <w:b w:val="0"/>
          <w:bCs w:val="0"/>
          <w:noProof/>
          <w:sz w:val="21"/>
          <w:szCs w:val="21"/>
        </w:rPr>
      </w:pPr>
      <w:r w:rsidRPr="00EA5ACD">
        <w:rPr>
          <w:rFonts w:ascii="SimHei" w:eastAsia="SimHei" w:hAnsi="SimHei"/>
          <w:b w:val="0"/>
          <w:bCs w:val="0"/>
          <w:noProof/>
          <w:sz w:val="21"/>
          <w:szCs w:val="21"/>
        </w:rPr>
        <w:lastRenderedPageBreak/>
        <w:fldChar w:fldCharType="begin"/>
      </w:r>
      <w:r w:rsidRPr="00EA5ACD">
        <w:rPr>
          <w:rFonts w:ascii="SimHei" w:eastAsia="SimHei" w:hAnsi="SimHei"/>
          <w:b w:val="0"/>
          <w:bCs w:val="0"/>
          <w:noProof/>
          <w:sz w:val="21"/>
          <w:szCs w:val="21"/>
        </w:rPr>
        <w:instrText xml:space="preserve"> </w:instrText>
      </w:r>
      <w:r w:rsidRPr="00EA5ACD">
        <w:rPr>
          <w:rFonts w:ascii="SimHei" w:eastAsia="SimHei" w:hAnsi="SimHei" w:hint="eastAsia"/>
          <w:b w:val="0"/>
          <w:bCs w:val="0"/>
          <w:noProof/>
          <w:sz w:val="21"/>
          <w:szCs w:val="21"/>
        </w:rPr>
        <w:instrText>= 1 \* CHINESENUM3</w:instrText>
      </w:r>
      <w:r w:rsidRPr="00EA5ACD">
        <w:rPr>
          <w:rFonts w:ascii="SimHei" w:eastAsia="SimHei" w:hAnsi="SimHei"/>
          <w:b w:val="0"/>
          <w:bCs w:val="0"/>
          <w:noProof/>
          <w:sz w:val="21"/>
          <w:szCs w:val="21"/>
        </w:rPr>
        <w:instrText xml:space="preserve"> </w:instrText>
      </w:r>
      <w:r w:rsidRPr="00EA5ACD">
        <w:rPr>
          <w:rFonts w:ascii="SimHei" w:eastAsia="SimHei" w:hAnsi="SimHei"/>
          <w:b w:val="0"/>
          <w:bCs w:val="0"/>
          <w:noProof/>
          <w:sz w:val="21"/>
          <w:szCs w:val="21"/>
        </w:rPr>
        <w:fldChar w:fldCharType="separate"/>
      </w:r>
      <w:r w:rsidRPr="00EA5ACD">
        <w:rPr>
          <w:rFonts w:ascii="SimHei" w:eastAsia="SimHei" w:hAnsi="SimHei" w:hint="eastAsia"/>
          <w:b w:val="0"/>
          <w:bCs w:val="0"/>
          <w:noProof/>
          <w:sz w:val="21"/>
          <w:szCs w:val="21"/>
        </w:rPr>
        <w:t>一</w:t>
      </w:r>
      <w:r w:rsidRPr="00EA5ACD">
        <w:rPr>
          <w:rFonts w:ascii="SimHei" w:eastAsia="SimHei" w:hAnsi="SimHei"/>
          <w:b w:val="0"/>
          <w:bCs w:val="0"/>
          <w:noProof/>
          <w:sz w:val="21"/>
          <w:szCs w:val="21"/>
        </w:rPr>
        <w:fldChar w:fldCharType="end"/>
      </w:r>
      <w:r w:rsidRPr="00EA5ACD">
        <w:rPr>
          <w:rFonts w:ascii="SimHei" w:eastAsia="SimHei" w:hAnsi="SimHei" w:hint="eastAsia"/>
          <w:b w:val="0"/>
          <w:bCs w:val="0"/>
          <w:noProof/>
          <w:sz w:val="21"/>
          <w:szCs w:val="21"/>
        </w:rPr>
        <w:t>、</w:t>
      </w:r>
      <w:r w:rsidRPr="00EA5ACD">
        <w:rPr>
          <w:rFonts w:ascii="SimHei" w:eastAsia="SimHei" w:hAnsi="SimHei"/>
          <w:b w:val="0"/>
          <w:bCs w:val="0"/>
          <w:noProof/>
          <w:sz w:val="21"/>
          <w:szCs w:val="21"/>
        </w:rPr>
        <w:t>产权组织独自开展的活动和倡议</w:t>
      </w:r>
    </w:p>
    <w:p w14:paraId="75E4BA91" w14:textId="1F9EFF21" w:rsidR="002A674D"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本报告的该部分结构如下：对于每一项可持续发展目标，报告都强调了产权组织在2023年开展的主要活动和倡议，及其如何帮助实现相关具体目标。产权组织的工作往往有助于实现多项可持续发展目标。在这些情况下，在联系最紧密的那一项可持续发展目标下报告活动，并提及其他相关的可持续发展目标。</w:t>
      </w:r>
    </w:p>
    <w:p w14:paraId="4BCDE3B3" w14:textId="4FAEEC9C"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可持续发展目标2：消除饥饿，实现粮食安全，改善营养状况和促进可持续农业</w:t>
      </w:r>
    </w:p>
    <w:p w14:paraId="3FE4BBBB"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品牌和外观设计</w:t>
      </w:r>
      <w:r w:rsidRPr="00BE595B">
        <w:rPr>
          <w:rFonts w:ascii="SimSun" w:hAnsi="SimSun"/>
          <w:sz w:val="21"/>
          <w:szCs w:val="21"/>
        </w:rPr>
        <w:t>领域</w:t>
      </w:r>
      <w:r w:rsidRPr="00BE595B">
        <w:rPr>
          <w:rFonts w:ascii="SimSun" w:hAnsi="SimSun" w:hint="eastAsia"/>
          <w:sz w:val="21"/>
          <w:szCs w:val="21"/>
        </w:rPr>
        <w:t>，产权组织帮助主管当局和感兴趣的利益攸关方</w:t>
      </w:r>
      <w:r w:rsidRPr="001E4AB5">
        <w:rPr>
          <w:rFonts w:asciiTheme="minorEastAsia" w:eastAsiaTheme="minorEastAsia" w:hAnsiTheme="minorEastAsia" w:hint="eastAsia"/>
          <w:sz w:val="21"/>
          <w:szCs w:val="21"/>
        </w:rPr>
        <w:t>（</w:t>
      </w:r>
      <w:r w:rsidRPr="00BE595B">
        <w:rPr>
          <w:rFonts w:ascii="SimSun" w:hAnsi="SimSun" w:hint="eastAsia"/>
          <w:sz w:val="21"/>
          <w:szCs w:val="21"/>
        </w:rPr>
        <w:t>当地社区和生产者</w:t>
      </w:r>
      <w:r w:rsidRPr="001E4AB5">
        <w:rPr>
          <w:rFonts w:asciiTheme="minorEastAsia" w:eastAsiaTheme="minorEastAsia" w:hAnsiTheme="minorEastAsia" w:hint="eastAsia"/>
          <w:sz w:val="21"/>
          <w:szCs w:val="21"/>
        </w:rPr>
        <w:t>）</w:t>
      </w:r>
      <w:r w:rsidRPr="00BE595B">
        <w:rPr>
          <w:rFonts w:ascii="SimSun" w:hAnsi="SimSun" w:hint="eastAsia"/>
          <w:sz w:val="21"/>
          <w:szCs w:val="21"/>
        </w:rPr>
        <w:t>确定、发展和保护原产地名称或地理标志，以及加强整体品牌推广和商业化战略，以支持当地社区和生产者融入全球经济。</w:t>
      </w:r>
    </w:p>
    <w:p w14:paraId="19F0FA84"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hint="eastAsia"/>
          <w:sz w:val="21"/>
          <w:szCs w:val="21"/>
        </w:rPr>
        <w:t>应成员国要求开展了以下活动：</w:t>
      </w:r>
    </w:p>
    <w:p w14:paraId="15CCBCCF"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组织或参加国家或地区活动和培训，阐释原产地名称和地理标志在促进当地和可持续发展中的战略性使用和里斯本体系确保国际保护的益处，并且鼓励当地社区和生产者使用里斯本体系。</w:t>
      </w:r>
    </w:p>
    <w:p w14:paraId="7EE17E28"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向里斯本体系的潜在成员和现有成员提供了立法和政策咨询，阐释里斯本体系的法律框架，评估国内立法与《原产地名称保护及其国际注册</w:t>
      </w:r>
      <w:hyperlink r:id="rId9" w:history="1">
        <w:r w:rsidRPr="00BE595B">
          <w:rPr>
            <w:rStyle w:val="Hyperlink"/>
            <w:rFonts w:ascii="SimSun" w:hAnsi="SimSun"/>
            <w:sz w:val="21"/>
            <w:szCs w:val="21"/>
          </w:rPr>
          <w:t>里斯本</w:t>
        </w:r>
      </w:hyperlink>
      <w:r w:rsidRPr="00BE595B">
        <w:rPr>
          <w:rFonts w:ascii="SimSun" w:hAnsi="SimSun"/>
          <w:sz w:val="21"/>
          <w:szCs w:val="21"/>
        </w:rPr>
        <w:t>协定》</w:t>
      </w:r>
      <w:r w:rsidRPr="001E4AB5">
        <w:rPr>
          <w:rFonts w:asciiTheme="minorEastAsia" w:eastAsiaTheme="minorEastAsia" w:hAnsiTheme="minorEastAsia"/>
          <w:sz w:val="21"/>
          <w:szCs w:val="21"/>
        </w:rPr>
        <w:t>（</w:t>
      </w:r>
      <w:r w:rsidRPr="00BE595B">
        <w:rPr>
          <w:rFonts w:ascii="SimSun" w:hAnsi="SimSun"/>
          <w:sz w:val="21"/>
          <w:szCs w:val="21"/>
        </w:rPr>
        <w:t>1967年文本</w:t>
      </w:r>
      <w:r w:rsidRPr="001E4AB5">
        <w:rPr>
          <w:rFonts w:asciiTheme="minorEastAsia" w:eastAsiaTheme="minorEastAsia" w:hAnsiTheme="minorEastAsia"/>
          <w:sz w:val="21"/>
          <w:szCs w:val="21"/>
        </w:rPr>
        <w:t>）</w:t>
      </w:r>
      <w:r w:rsidRPr="008B7D33">
        <w:rPr>
          <w:rFonts w:ascii="SimSun" w:hAnsi="SimSun" w:cs="SimSun" w:hint="eastAsia"/>
          <w:sz w:val="21"/>
          <w:szCs w:val="21"/>
        </w:rPr>
        <w:t>和</w:t>
      </w:r>
      <w:r w:rsidRPr="00BE595B">
        <w:rPr>
          <w:rFonts w:ascii="SimSun" w:hAnsi="SimSun"/>
          <w:sz w:val="21"/>
          <w:szCs w:val="21"/>
        </w:rPr>
        <w:t>/</w:t>
      </w:r>
      <w:r w:rsidRPr="008B7D33">
        <w:rPr>
          <w:rFonts w:ascii="SimSun" w:hAnsi="SimSun" w:cs="SimSun" w:hint="eastAsia"/>
          <w:sz w:val="21"/>
          <w:szCs w:val="21"/>
        </w:rPr>
        <w:t>或《原产地名称和地理标志里斯本协定</w:t>
      </w:r>
      <w:hyperlink r:id="rId10" w:history="1">
        <w:r w:rsidRPr="008B7D33">
          <w:rPr>
            <w:rStyle w:val="Hyperlink"/>
            <w:rFonts w:ascii="SimSun" w:hAnsi="SimSun" w:cs="SimSun" w:hint="eastAsia"/>
            <w:sz w:val="21"/>
            <w:szCs w:val="21"/>
          </w:rPr>
          <w:t>日内瓦</w:t>
        </w:r>
      </w:hyperlink>
      <w:r w:rsidRPr="008B7D33">
        <w:rPr>
          <w:rFonts w:ascii="SimSun" w:hAnsi="SimSun" w:cs="SimSun" w:hint="eastAsia"/>
          <w:sz w:val="21"/>
          <w:szCs w:val="21"/>
        </w:rPr>
        <w:t>文本》</w:t>
      </w:r>
      <w:r w:rsidRPr="008B7D33">
        <w:rPr>
          <w:rFonts w:asciiTheme="minorEastAsia" w:eastAsiaTheme="minorEastAsia" w:hAnsiTheme="minorEastAsia"/>
          <w:sz w:val="21"/>
          <w:szCs w:val="21"/>
        </w:rPr>
        <w:t>（</w:t>
      </w:r>
      <w:r w:rsidRPr="00BE595B">
        <w:rPr>
          <w:rFonts w:ascii="SimSun" w:hAnsi="SimSun"/>
          <w:sz w:val="21"/>
          <w:szCs w:val="21"/>
        </w:rPr>
        <w:t>2015</w:t>
      </w:r>
      <w:r w:rsidRPr="008B7D33">
        <w:rPr>
          <w:rFonts w:ascii="SimSun" w:hAnsi="SimSun" w:cs="SimSun" w:hint="eastAsia"/>
          <w:sz w:val="21"/>
          <w:szCs w:val="21"/>
        </w:rPr>
        <w:t>年文本</w:t>
      </w:r>
      <w:r w:rsidRPr="008B7D33">
        <w:rPr>
          <w:rFonts w:asciiTheme="minorEastAsia" w:eastAsiaTheme="minorEastAsia" w:hAnsiTheme="minorEastAsia"/>
          <w:sz w:val="21"/>
          <w:szCs w:val="21"/>
        </w:rPr>
        <w:t>）</w:t>
      </w:r>
      <w:r w:rsidRPr="008B7D33">
        <w:rPr>
          <w:rFonts w:ascii="SimSun" w:hAnsi="SimSun" w:cs="SimSun" w:hint="eastAsia"/>
          <w:sz w:val="21"/>
          <w:szCs w:val="21"/>
        </w:rPr>
        <w:t>的相容性，制定实施监管条款和</w:t>
      </w:r>
      <w:r w:rsidRPr="00BE595B">
        <w:rPr>
          <w:rFonts w:ascii="SimSun" w:hAnsi="SimSun"/>
          <w:sz w:val="21"/>
          <w:szCs w:val="21"/>
        </w:rPr>
        <w:t>/</w:t>
      </w:r>
      <w:r w:rsidRPr="008B7D33">
        <w:rPr>
          <w:rFonts w:ascii="SimSun" w:hAnsi="SimSun" w:cs="SimSun" w:hint="eastAsia"/>
          <w:sz w:val="21"/>
          <w:szCs w:val="21"/>
        </w:rPr>
        <w:t>或进一步制定其立法和体制框架。</w:t>
      </w:r>
    </w:p>
    <w:p w14:paraId="5BDB48CE"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为有关当局和感兴趣的利益攸关方组织技术援助和能力建设活动。技术援助包括组织和运营能力计划和需求评估活动；能力建设活动包括协助发展和实施可持续的原产地名称和地理标志方面的援助，例如，墨西哥的</w:t>
      </w:r>
      <w:r w:rsidRPr="001E4AB5">
        <w:rPr>
          <w:rFonts w:asciiTheme="minorEastAsia" w:eastAsiaTheme="minorEastAsia" w:hAnsiTheme="minorEastAsia"/>
          <w:sz w:val="21"/>
          <w:szCs w:val="21"/>
        </w:rPr>
        <w:t>“</w:t>
      </w:r>
      <w:r w:rsidRPr="00BE595B">
        <w:rPr>
          <w:rFonts w:ascii="SimSun" w:hAnsi="SimSun"/>
          <w:sz w:val="21"/>
          <w:szCs w:val="21"/>
        </w:rPr>
        <w:t>卡霍诺斯丝绸</w:t>
      </w:r>
      <w:r w:rsidRPr="001E4AB5">
        <w:rPr>
          <w:rFonts w:asciiTheme="minorEastAsia" w:eastAsiaTheme="minorEastAsia" w:hAnsiTheme="minorEastAsia"/>
          <w:sz w:val="21"/>
          <w:szCs w:val="21"/>
        </w:rPr>
        <w:t>”</w:t>
      </w:r>
      <w:r w:rsidRPr="00BE595B">
        <w:rPr>
          <w:rFonts w:ascii="SimSun" w:hAnsi="SimSun"/>
          <w:sz w:val="21"/>
          <w:szCs w:val="21"/>
        </w:rPr>
        <w:t>、智利的</w:t>
      </w:r>
      <w:r w:rsidRPr="001E4AB5">
        <w:rPr>
          <w:rFonts w:asciiTheme="minorEastAsia" w:eastAsiaTheme="minorEastAsia" w:hAnsiTheme="minorEastAsia"/>
          <w:sz w:val="21"/>
          <w:szCs w:val="21"/>
        </w:rPr>
        <w:t>“</w:t>
      </w:r>
      <w:r w:rsidRPr="00BE595B">
        <w:rPr>
          <w:rFonts w:ascii="SimSun" w:hAnsi="SimSun"/>
          <w:sz w:val="21"/>
          <w:szCs w:val="21"/>
        </w:rPr>
        <w:t>普特雷山麓牛至</w:t>
      </w:r>
      <w:r w:rsidRPr="001E4AB5">
        <w:rPr>
          <w:rFonts w:asciiTheme="minorEastAsia" w:eastAsiaTheme="minorEastAsia" w:hAnsiTheme="minorEastAsia"/>
          <w:sz w:val="21"/>
          <w:szCs w:val="21"/>
        </w:rPr>
        <w:t>”</w:t>
      </w:r>
      <w:r w:rsidRPr="00BE595B">
        <w:rPr>
          <w:rFonts w:ascii="SimSun" w:hAnsi="SimSun"/>
          <w:sz w:val="21"/>
          <w:szCs w:val="21"/>
        </w:rPr>
        <w:t>、柬埔寨的</w:t>
      </w:r>
      <w:r w:rsidRPr="001E4AB5">
        <w:rPr>
          <w:rFonts w:asciiTheme="minorEastAsia" w:eastAsiaTheme="minorEastAsia" w:hAnsiTheme="minorEastAsia"/>
          <w:sz w:val="21"/>
          <w:szCs w:val="21"/>
        </w:rPr>
        <w:t>“</w:t>
      </w:r>
      <w:r w:rsidRPr="00BE595B">
        <w:rPr>
          <w:rFonts w:ascii="SimSun" w:hAnsi="SimSun"/>
          <w:sz w:val="21"/>
          <w:szCs w:val="21"/>
        </w:rPr>
        <w:t>贡布-白马</w:t>
      </w:r>
      <w:r w:rsidRPr="00BE595B">
        <w:rPr>
          <w:rFonts w:ascii="SimSun" w:hAnsi="SimSun" w:hint="eastAsia"/>
          <w:sz w:val="21"/>
          <w:szCs w:val="21"/>
        </w:rPr>
        <w:t>（</w:t>
      </w:r>
      <w:r w:rsidRPr="00BE595B">
        <w:rPr>
          <w:rFonts w:ascii="SimSun" w:hAnsi="SimSun"/>
          <w:sz w:val="21"/>
          <w:szCs w:val="21"/>
        </w:rPr>
        <w:t>海</w:t>
      </w:r>
      <w:r w:rsidRPr="00BE595B">
        <w:rPr>
          <w:rFonts w:ascii="SimSun" w:hAnsi="SimSun" w:hint="eastAsia"/>
          <w:sz w:val="21"/>
          <w:szCs w:val="21"/>
        </w:rPr>
        <w:t>）</w:t>
      </w:r>
      <w:r w:rsidRPr="00BE595B">
        <w:rPr>
          <w:rFonts w:ascii="SimSun" w:hAnsi="SimSun"/>
          <w:sz w:val="21"/>
          <w:szCs w:val="21"/>
        </w:rPr>
        <w:t>盐</w:t>
      </w:r>
      <w:r w:rsidRPr="001E4AB5">
        <w:rPr>
          <w:rFonts w:asciiTheme="minorEastAsia" w:eastAsiaTheme="minorEastAsia" w:hAnsiTheme="minorEastAsia"/>
          <w:sz w:val="21"/>
          <w:szCs w:val="21"/>
        </w:rPr>
        <w:t>”</w:t>
      </w:r>
      <w:r w:rsidRPr="00BE595B">
        <w:rPr>
          <w:rFonts w:ascii="SimSun" w:hAnsi="SimSun"/>
          <w:sz w:val="21"/>
          <w:szCs w:val="21"/>
        </w:rPr>
        <w:t>、蒙古的</w:t>
      </w:r>
      <w:r w:rsidRPr="001E4AB5">
        <w:rPr>
          <w:rFonts w:asciiTheme="minorEastAsia" w:eastAsiaTheme="minorEastAsia" w:hAnsiTheme="minorEastAsia"/>
          <w:sz w:val="21"/>
          <w:szCs w:val="21"/>
        </w:rPr>
        <w:t>“</w:t>
      </w:r>
      <w:r w:rsidRPr="00BE595B">
        <w:rPr>
          <w:rFonts w:ascii="SimSun" w:hAnsi="SimSun"/>
          <w:sz w:val="21"/>
          <w:szCs w:val="21"/>
        </w:rPr>
        <w:t>蒙古松子树</w:t>
      </w:r>
      <w:r w:rsidRPr="001E4AB5">
        <w:rPr>
          <w:rFonts w:asciiTheme="minorEastAsia" w:eastAsiaTheme="minorEastAsia" w:hAnsiTheme="minorEastAsia"/>
          <w:sz w:val="21"/>
          <w:szCs w:val="21"/>
        </w:rPr>
        <w:t>”</w:t>
      </w:r>
      <w:r w:rsidRPr="00BE595B">
        <w:rPr>
          <w:rFonts w:ascii="SimSun" w:hAnsi="SimSun"/>
          <w:sz w:val="21"/>
          <w:szCs w:val="21"/>
        </w:rPr>
        <w:t>、塞内加尔的</w:t>
      </w:r>
      <w:r w:rsidRPr="001E4AB5">
        <w:rPr>
          <w:rFonts w:asciiTheme="minorEastAsia" w:eastAsiaTheme="minorEastAsia" w:hAnsiTheme="minorEastAsia"/>
          <w:sz w:val="21"/>
          <w:szCs w:val="21"/>
        </w:rPr>
        <w:t>“</w:t>
      </w:r>
      <w:r w:rsidRPr="00BE595B">
        <w:rPr>
          <w:rFonts w:ascii="SimSun" w:hAnsi="SimSun"/>
          <w:sz w:val="21"/>
          <w:szCs w:val="21"/>
        </w:rPr>
        <w:t>卡萨芒斯</w:t>
      </w:r>
      <w:r w:rsidR="00B022AC" w:rsidRPr="00BE595B">
        <w:rPr>
          <w:rFonts w:ascii="SimSun" w:hAnsi="SimSun" w:hint="eastAsia"/>
          <w:sz w:val="21"/>
          <w:szCs w:val="21"/>
        </w:rPr>
        <w:t>之</w:t>
      </w:r>
      <w:r w:rsidRPr="00BE595B">
        <w:rPr>
          <w:rFonts w:ascii="SimSun" w:hAnsi="SimSun"/>
          <w:sz w:val="21"/>
          <w:szCs w:val="21"/>
        </w:rPr>
        <w:t>果</w:t>
      </w:r>
      <w:r w:rsidRPr="001E4AB5">
        <w:rPr>
          <w:rFonts w:asciiTheme="minorEastAsia" w:eastAsiaTheme="minorEastAsia" w:hAnsiTheme="minorEastAsia"/>
          <w:sz w:val="21"/>
          <w:szCs w:val="21"/>
        </w:rPr>
        <w:t>”</w:t>
      </w:r>
      <w:r w:rsidRPr="00BE595B">
        <w:rPr>
          <w:rFonts w:ascii="SimSun" w:hAnsi="SimSun"/>
          <w:sz w:val="21"/>
          <w:szCs w:val="21"/>
        </w:rPr>
        <w:t>和多哥的</w:t>
      </w:r>
      <w:r w:rsidRPr="001E4AB5">
        <w:rPr>
          <w:rFonts w:asciiTheme="minorEastAsia" w:eastAsiaTheme="minorEastAsia" w:hAnsiTheme="minorEastAsia"/>
          <w:sz w:val="21"/>
          <w:szCs w:val="21"/>
        </w:rPr>
        <w:t>“</w:t>
      </w:r>
      <w:r w:rsidRPr="00BE595B">
        <w:rPr>
          <w:rFonts w:ascii="SimSun" w:hAnsi="SimSun"/>
          <w:sz w:val="21"/>
          <w:szCs w:val="21"/>
        </w:rPr>
        <w:t>科维埃大米</w:t>
      </w:r>
      <w:r w:rsidRPr="001E4AB5">
        <w:rPr>
          <w:rFonts w:asciiTheme="minorEastAsia" w:eastAsiaTheme="minorEastAsia" w:hAnsiTheme="minorEastAsia"/>
          <w:sz w:val="21"/>
          <w:szCs w:val="21"/>
        </w:rPr>
        <w:t>”</w:t>
      </w:r>
      <w:r w:rsidRPr="00BE595B">
        <w:rPr>
          <w:rFonts w:ascii="SimSun" w:hAnsi="SimSun"/>
          <w:sz w:val="21"/>
          <w:szCs w:val="21"/>
        </w:rPr>
        <w:t>。</w:t>
      </w:r>
    </w:p>
    <w:p w14:paraId="331C397A" w14:textId="04B7F04C"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上述项目报告了以下成果：</w:t>
      </w:r>
    </w:p>
    <w:p w14:paraId="1183FEE4"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作为产权组织2019冠状病毒病</w:t>
      </w:r>
      <w:r w:rsidRPr="001E4AB5">
        <w:rPr>
          <w:rFonts w:asciiTheme="minorEastAsia" w:eastAsiaTheme="minorEastAsia" w:hAnsiTheme="minorEastAsia"/>
          <w:sz w:val="21"/>
          <w:szCs w:val="21"/>
        </w:rPr>
        <w:t>（</w:t>
      </w:r>
      <w:r w:rsidRPr="00BE595B">
        <w:rPr>
          <w:rFonts w:ascii="SimSun" w:hAnsi="SimSun"/>
          <w:sz w:val="21"/>
          <w:szCs w:val="21"/>
        </w:rPr>
        <w:t>COVID-19</w:t>
      </w:r>
      <w:r w:rsidRPr="001E4AB5">
        <w:rPr>
          <w:rFonts w:asciiTheme="minorEastAsia" w:eastAsiaTheme="minorEastAsia" w:hAnsiTheme="minorEastAsia"/>
          <w:sz w:val="21"/>
          <w:szCs w:val="21"/>
        </w:rPr>
        <w:t>）</w:t>
      </w:r>
      <w:r w:rsidR="008B7D33" w:rsidRPr="00BE595B">
        <w:rPr>
          <w:rFonts w:ascii="SimSun" w:hAnsi="SimSun"/>
          <w:sz w:val="21"/>
          <w:szCs w:val="21"/>
        </w:rPr>
        <w:t>一揽子应对方案一部分，</w:t>
      </w:r>
      <w:r w:rsidR="008B7D33" w:rsidRPr="00BE595B">
        <w:rPr>
          <w:rStyle w:val="FootnoteReference"/>
          <w:rFonts w:ascii="SimSun" w:hAnsi="SimSun"/>
          <w:sz w:val="21"/>
          <w:szCs w:val="21"/>
        </w:rPr>
        <w:footnoteReference w:id="3"/>
      </w:r>
      <w:r w:rsidR="008B7D33" w:rsidRPr="008B7D33">
        <w:rPr>
          <w:rFonts w:ascii="SimSun" w:hAnsi="SimSun" w:cs="SimSun" w:hint="eastAsia"/>
          <w:sz w:val="21"/>
          <w:szCs w:val="21"/>
        </w:rPr>
        <w:t>受大流行影响的智利</w:t>
      </w:r>
      <w:r w:rsidR="008B7D33" w:rsidRPr="008B7D33">
        <w:rPr>
          <w:rFonts w:asciiTheme="minorEastAsia" w:eastAsiaTheme="minorEastAsia" w:hAnsiTheme="minorEastAsia"/>
          <w:sz w:val="21"/>
          <w:szCs w:val="21"/>
        </w:rPr>
        <w:t>“</w:t>
      </w:r>
      <w:r w:rsidR="008B7D33" w:rsidRPr="008B7D33">
        <w:rPr>
          <w:rFonts w:ascii="SimSun" w:hAnsi="SimSun" w:cs="SimSun" w:hint="eastAsia"/>
          <w:sz w:val="21"/>
          <w:szCs w:val="21"/>
        </w:rPr>
        <w:t>普特雷山麓牛至</w:t>
      </w:r>
      <w:r w:rsidR="008B7D33" w:rsidRPr="008B7D33">
        <w:rPr>
          <w:rFonts w:asciiTheme="minorEastAsia" w:eastAsiaTheme="minorEastAsia" w:hAnsiTheme="minorEastAsia"/>
          <w:sz w:val="21"/>
          <w:szCs w:val="21"/>
        </w:rPr>
        <w:t>”</w:t>
      </w:r>
      <w:r w:rsidR="008B7D33" w:rsidRPr="008B7D33">
        <w:rPr>
          <w:rFonts w:ascii="SimSun" w:hAnsi="SimSun" w:cs="SimSun" w:hint="eastAsia"/>
          <w:sz w:val="21"/>
          <w:szCs w:val="21"/>
        </w:rPr>
        <w:t>生产商得到了援助，加强对其地理标志的集体管理，以确保其产品在市场上有更好的定位。该项目将在</w:t>
      </w:r>
      <w:r w:rsidR="008B7D33" w:rsidRPr="00BE595B">
        <w:rPr>
          <w:rFonts w:ascii="SimSun" w:hAnsi="SimSun"/>
          <w:sz w:val="21"/>
          <w:szCs w:val="21"/>
        </w:rPr>
        <w:t>2024</w:t>
      </w:r>
      <w:r w:rsidR="008B7D33" w:rsidRPr="008B7D33">
        <w:rPr>
          <w:rFonts w:ascii="SimSun" w:hAnsi="SimSun" w:cs="SimSun" w:hint="eastAsia"/>
          <w:sz w:val="21"/>
          <w:szCs w:val="21"/>
        </w:rPr>
        <w:t>年继续进行，重点是产品的品牌推广和商业化。应孟加拉国、柬埔寨、墨西哥、蒙古和汤加的要求，在产权组织</w:t>
      </w:r>
      <w:r w:rsidR="008B7D33" w:rsidRPr="00BE595B">
        <w:rPr>
          <w:rFonts w:ascii="SimSun" w:hAnsi="SimSun"/>
          <w:sz w:val="21"/>
          <w:szCs w:val="21"/>
        </w:rPr>
        <w:t>COVID-19</w:t>
      </w:r>
      <w:r w:rsidR="008B7D33" w:rsidRPr="008B7D33">
        <w:rPr>
          <w:rFonts w:ascii="SimSun" w:hAnsi="SimSun" w:cs="SimSun" w:hint="eastAsia"/>
          <w:sz w:val="21"/>
          <w:szCs w:val="21"/>
        </w:rPr>
        <w:t>一揽子应对方案下实施了其他地理标志项目。</w:t>
      </w:r>
    </w:p>
    <w:p w14:paraId="25893285"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在</w:t>
      </w:r>
      <w:hyperlink r:id="rId11" w:history="1">
        <w:r w:rsidRPr="00BE595B">
          <w:rPr>
            <w:rStyle w:val="Hyperlink"/>
            <w:rFonts w:ascii="SimSun" w:hAnsi="SimSun"/>
            <w:sz w:val="21"/>
            <w:szCs w:val="21"/>
          </w:rPr>
          <w:t>卡萨芒斯</w:t>
        </w:r>
        <w:r w:rsidR="00B97C97" w:rsidRPr="00BE595B">
          <w:rPr>
            <w:rStyle w:val="Hyperlink"/>
            <w:rFonts w:ascii="SimSun" w:hAnsi="SimSun" w:cs="SimSun" w:hint="eastAsia"/>
            <w:sz w:val="21"/>
            <w:szCs w:val="21"/>
          </w:rPr>
          <w:t>之</w:t>
        </w:r>
        <w:r w:rsidRPr="00BE595B">
          <w:rPr>
            <w:rStyle w:val="Hyperlink"/>
            <w:rFonts w:ascii="SimSun" w:hAnsi="SimSun"/>
            <w:sz w:val="21"/>
            <w:szCs w:val="21"/>
          </w:rPr>
          <w:t>果</w:t>
        </w:r>
      </w:hyperlink>
      <w:r w:rsidRPr="001E4AB5">
        <w:rPr>
          <w:rFonts w:asciiTheme="minorEastAsia" w:eastAsiaTheme="minorEastAsia" w:hAnsiTheme="minorEastAsia"/>
          <w:sz w:val="21"/>
          <w:szCs w:val="21"/>
        </w:rPr>
        <w:t>（</w:t>
      </w:r>
      <w:r w:rsidRPr="00BE595B">
        <w:rPr>
          <w:rFonts w:ascii="SimSun" w:hAnsi="SimSun"/>
          <w:sz w:val="21"/>
          <w:szCs w:val="21"/>
        </w:rPr>
        <w:t>一种野生水果，也是社区的宝贵营养来源</w:t>
      </w:r>
      <w:r w:rsidRPr="001E4AB5">
        <w:rPr>
          <w:rFonts w:asciiTheme="minorEastAsia" w:eastAsiaTheme="minorEastAsia" w:hAnsiTheme="minorEastAsia"/>
          <w:sz w:val="21"/>
          <w:szCs w:val="21"/>
        </w:rPr>
        <w:t>（</w:t>
      </w:r>
      <w:r w:rsidRPr="00BE595B">
        <w:rPr>
          <w:rFonts w:ascii="SimSun" w:hAnsi="SimSun"/>
          <w:sz w:val="21"/>
          <w:szCs w:val="21"/>
        </w:rPr>
        <w:t>可持续发展目标2</w:t>
      </w:r>
      <w:r w:rsidRPr="001E4AB5">
        <w:rPr>
          <w:rFonts w:asciiTheme="minorEastAsia" w:eastAsiaTheme="minorEastAsia" w:hAnsiTheme="minorEastAsia"/>
          <w:sz w:val="21"/>
          <w:szCs w:val="21"/>
        </w:rPr>
        <w:t>））</w:t>
      </w:r>
      <w:r w:rsidRPr="00BE595B">
        <w:rPr>
          <w:rFonts w:ascii="SimSun" w:hAnsi="SimSun"/>
          <w:sz w:val="21"/>
          <w:szCs w:val="21"/>
        </w:rPr>
        <w:t>的案例中，正在进行的获得地理标志地位的进程不仅支持社区的环保目标</w:t>
      </w:r>
      <w:r w:rsidRPr="001E4AB5">
        <w:rPr>
          <w:rFonts w:asciiTheme="minorEastAsia" w:eastAsiaTheme="minorEastAsia" w:hAnsiTheme="minorEastAsia"/>
          <w:sz w:val="21"/>
          <w:szCs w:val="21"/>
        </w:rPr>
        <w:t>（</w:t>
      </w:r>
      <w:r w:rsidRPr="00BE595B">
        <w:rPr>
          <w:rFonts w:ascii="SimSun" w:hAnsi="SimSun"/>
          <w:sz w:val="21"/>
          <w:szCs w:val="21"/>
        </w:rPr>
        <w:t>可持续发展目标15</w:t>
      </w:r>
      <w:r w:rsidRPr="001E4AB5">
        <w:rPr>
          <w:rFonts w:asciiTheme="minorEastAsia" w:eastAsiaTheme="minorEastAsia" w:hAnsiTheme="minorEastAsia"/>
          <w:sz w:val="21"/>
          <w:szCs w:val="21"/>
        </w:rPr>
        <w:t>）</w:t>
      </w:r>
      <w:r w:rsidRPr="00BE595B">
        <w:rPr>
          <w:rFonts w:ascii="SimSun" w:hAnsi="SimSun"/>
          <w:sz w:val="21"/>
          <w:szCs w:val="21"/>
        </w:rPr>
        <w:t>，还促进增强年轻人和妇女的权能</w:t>
      </w:r>
      <w:r w:rsidRPr="001E4AB5">
        <w:rPr>
          <w:rFonts w:asciiTheme="minorEastAsia" w:eastAsiaTheme="minorEastAsia" w:hAnsiTheme="minorEastAsia"/>
          <w:sz w:val="21"/>
          <w:szCs w:val="21"/>
        </w:rPr>
        <w:t>（</w:t>
      </w:r>
      <w:r w:rsidRPr="00BE595B">
        <w:rPr>
          <w:rFonts w:ascii="SimSun" w:hAnsi="SimSun"/>
          <w:sz w:val="21"/>
          <w:szCs w:val="21"/>
        </w:rPr>
        <w:t>可持续发展目标1和5</w:t>
      </w:r>
      <w:r w:rsidRPr="001E4AB5">
        <w:rPr>
          <w:rFonts w:asciiTheme="minorEastAsia" w:eastAsiaTheme="minorEastAsia" w:hAnsiTheme="minorEastAsia"/>
          <w:sz w:val="21"/>
          <w:szCs w:val="21"/>
        </w:rPr>
        <w:t>）</w:t>
      </w:r>
      <w:r w:rsidRPr="00BE595B">
        <w:rPr>
          <w:rFonts w:ascii="SimSun" w:hAnsi="SimSun"/>
          <w:sz w:val="21"/>
          <w:szCs w:val="21"/>
        </w:rPr>
        <w:t>。例如，年轻人一般负责收割水果。他们用收入补贴学费</w:t>
      </w:r>
      <w:r w:rsidRPr="001E4AB5">
        <w:rPr>
          <w:rFonts w:asciiTheme="minorEastAsia" w:eastAsiaTheme="minorEastAsia" w:hAnsiTheme="minorEastAsia"/>
          <w:sz w:val="21"/>
          <w:szCs w:val="21"/>
        </w:rPr>
        <w:t>（</w:t>
      </w:r>
      <w:r w:rsidRPr="00BE595B">
        <w:rPr>
          <w:rFonts w:ascii="SimSun" w:hAnsi="SimSun"/>
          <w:sz w:val="21"/>
          <w:szCs w:val="21"/>
        </w:rPr>
        <w:t>可持续发展目标4</w:t>
      </w:r>
      <w:r w:rsidRPr="001E4AB5">
        <w:rPr>
          <w:rFonts w:asciiTheme="minorEastAsia" w:eastAsiaTheme="minorEastAsia" w:hAnsiTheme="minorEastAsia"/>
          <w:sz w:val="21"/>
          <w:szCs w:val="21"/>
        </w:rPr>
        <w:t>）</w:t>
      </w:r>
      <w:r w:rsidRPr="00BE595B">
        <w:rPr>
          <w:rFonts w:ascii="SimSun" w:hAnsi="SimSun"/>
          <w:sz w:val="21"/>
          <w:szCs w:val="21"/>
        </w:rPr>
        <w:t>。而妇女则在加工和销售水果的果汁、糖浆和果酱方面发挥着关键作用。他们是项目的发起者，并通过树立产品声誉和建设价值链继续发挥领导作用。事实上，正是女性迈出了为</w:t>
      </w:r>
      <w:r w:rsidRPr="001E4AB5">
        <w:rPr>
          <w:rFonts w:asciiTheme="minorEastAsia" w:eastAsiaTheme="minorEastAsia" w:hAnsiTheme="minorEastAsia"/>
          <w:sz w:val="21"/>
          <w:szCs w:val="21"/>
        </w:rPr>
        <w:t>“</w:t>
      </w:r>
      <w:r w:rsidRPr="00BE595B">
        <w:rPr>
          <w:rFonts w:ascii="SimSun" w:hAnsi="SimSun"/>
          <w:sz w:val="21"/>
          <w:szCs w:val="21"/>
        </w:rPr>
        <w:t>卡萨芒斯</w:t>
      </w:r>
      <w:r w:rsidR="00B97C97" w:rsidRPr="00BE595B">
        <w:rPr>
          <w:rFonts w:ascii="SimSun" w:hAnsi="SimSun" w:hint="eastAsia"/>
          <w:sz w:val="21"/>
          <w:szCs w:val="21"/>
        </w:rPr>
        <w:t>之</w:t>
      </w:r>
      <w:r w:rsidRPr="00BE595B">
        <w:rPr>
          <w:rFonts w:ascii="SimSun" w:hAnsi="SimSun"/>
          <w:sz w:val="21"/>
          <w:szCs w:val="21"/>
        </w:rPr>
        <w:t>果</w:t>
      </w:r>
      <w:r w:rsidRPr="001E4AB5">
        <w:rPr>
          <w:rFonts w:asciiTheme="minorEastAsia" w:eastAsiaTheme="minorEastAsia" w:hAnsiTheme="minorEastAsia"/>
          <w:sz w:val="21"/>
          <w:szCs w:val="21"/>
        </w:rPr>
        <w:t>”</w:t>
      </w:r>
      <w:r w:rsidRPr="00BE595B">
        <w:rPr>
          <w:rFonts w:ascii="SimSun" w:hAnsi="SimSun"/>
          <w:sz w:val="21"/>
          <w:szCs w:val="21"/>
        </w:rPr>
        <w:t>寻求地理标志地位的第一步。注册该地理标志的申请于2022年11月提交给了塞内加尔当局，并于2023年4月提交给了非洲知识产权组织</w:t>
      </w:r>
      <w:r w:rsidRPr="001E4AB5">
        <w:rPr>
          <w:rFonts w:asciiTheme="minorEastAsia" w:eastAsiaTheme="minorEastAsia" w:hAnsiTheme="minorEastAsia"/>
          <w:sz w:val="21"/>
          <w:szCs w:val="21"/>
        </w:rPr>
        <w:t>（</w:t>
      </w:r>
      <w:r w:rsidRPr="00BE595B">
        <w:rPr>
          <w:rFonts w:ascii="SimSun" w:hAnsi="SimSun"/>
          <w:sz w:val="21"/>
          <w:szCs w:val="21"/>
        </w:rPr>
        <w:t>OAPI</w:t>
      </w:r>
      <w:r w:rsidRPr="001E4AB5">
        <w:rPr>
          <w:rFonts w:asciiTheme="minorEastAsia" w:eastAsiaTheme="minorEastAsia" w:hAnsiTheme="minorEastAsia"/>
          <w:sz w:val="21"/>
          <w:szCs w:val="21"/>
        </w:rPr>
        <w:t>）</w:t>
      </w:r>
      <w:r w:rsidRPr="00BE595B">
        <w:rPr>
          <w:rFonts w:ascii="SimSun" w:hAnsi="SimSun"/>
          <w:sz w:val="21"/>
          <w:szCs w:val="21"/>
        </w:rPr>
        <w:t>。该项目由中国信托基金</w:t>
      </w:r>
      <w:r w:rsidRPr="001E4AB5">
        <w:rPr>
          <w:rFonts w:asciiTheme="minorEastAsia" w:eastAsiaTheme="minorEastAsia" w:hAnsiTheme="minorEastAsia"/>
          <w:sz w:val="21"/>
          <w:szCs w:val="21"/>
        </w:rPr>
        <w:t>（</w:t>
      </w:r>
      <w:r w:rsidRPr="00BE595B">
        <w:rPr>
          <w:rFonts w:ascii="SimSun" w:hAnsi="SimSun"/>
          <w:sz w:val="21"/>
          <w:szCs w:val="21"/>
        </w:rPr>
        <w:t>FIT</w:t>
      </w:r>
      <w:r w:rsidRPr="001E4AB5">
        <w:rPr>
          <w:rFonts w:asciiTheme="minorEastAsia" w:eastAsiaTheme="minorEastAsia" w:hAnsiTheme="minorEastAsia"/>
          <w:sz w:val="21"/>
          <w:szCs w:val="21"/>
        </w:rPr>
        <w:t>）</w:t>
      </w:r>
      <w:r w:rsidRPr="00BE595B">
        <w:rPr>
          <w:rFonts w:ascii="SimSun" w:hAnsi="SimSun"/>
          <w:sz w:val="21"/>
          <w:szCs w:val="21"/>
        </w:rPr>
        <w:t>提供财政支持，并与联合国粮食及农业组织</w:t>
      </w:r>
      <w:r w:rsidRPr="001E4AB5">
        <w:rPr>
          <w:rFonts w:asciiTheme="minorEastAsia" w:eastAsiaTheme="minorEastAsia" w:hAnsiTheme="minorEastAsia"/>
          <w:sz w:val="21"/>
          <w:szCs w:val="21"/>
        </w:rPr>
        <w:t>（</w:t>
      </w:r>
      <w:r w:rsidRPr="00BE595B">
        <w:rPr>
          <w:rFonts w:ascii="SimSun" w:hAnsi="SimSun"/>
          <w:sz w:val="21"/>
          <w:szCs w:val="21"/>
        </w:rPr>
        <w:t>粮农组</w:t>
      </w:r>
      <w:r w:rsidRPr="00BE595B">
        <w:rPr>
          <w:rFonts w:ascii="SimSun" w:hAnsi="SimSun"/>
          <w:sz w:val="21"/>
          <w:szCs w:val="21"/>
        </w:rPr>
        <w:lastRenderedPageBreak/>
        <w:t>织</w:t>
      </w:r>
      <w:r w:rsidRPr="001E4AB5">
        <w:rPr>
          <w:rFonts w:asciiTheme="minorEastAsia" w:eastAsiaTheme="minorEastAsia" w:hAnsiTheme="minorEastAsia"/>
          <w:sz w:val="21"/>
          <w:szCs w:val="21"/>
        </w:rPr>
        <w:t>）</w:t>
      </w:r>
      <w:r w:rsidRPr="00BE595B">
        <w:rPr>
          <w:rFonts w:ascii="SimSun" w:hAnsi="SimSun"/>
          <w:sz w:val="21"/>
          <w:szCs w:val="21"/>
        </w:rPr>
        <w:t>和法国开发署</w:t>
      </w:r>
      <w:r w:rsidR="00535230" w:rsidRPr="00BE595B">
        <w:rPr>
          <w:rFonts w:ascii="SimSun" w:hAnsi="SimSun" w:hint="eastAsia"/>
          <w:sz w:val="21"/>
          <w:szCs w:val="21"/>
        </w:rPr>
        <w:t>（</w:t>
      </w:r>
      <w:r w:rsidRPr="00BE595B">
        <w:rPr>
          <w:rFonts w:ascii="SimSun" w:hAnsi="SimSun"/>
          <w:sz w:val="21"/>
          <w:szCs w:val="21"/>
        </w:rPr>
        <w:t>AFD</w:t>
      </w:r>
      <w:r w:rsidR="00535230" w:rsidRPr="00BE595B">
        <w:rPr>
          <w:rFonts w:ascii="SimSun" w:hAnsi="SimSun" w:hint="eastAsia"/>
          <w:sz w:val="21"/>
          <w:szCs w:val="21"/>
        </w:rPr>
        <w:t>）</w:t>
      </w:r>
      <w:r w:rsidRPr="00BE595B">
        <w:rPr>
          <w:rFonts w:ascii="SimSun" w:hAnsi="SimSun"/>
          <w:sz w:val="21"/>
          <w:szCs w:val="21"/>
        </w:rPr>
        <w:t>合作实施。其他项目也在中国信托基金的支持下在柬埔寨和多哥实施。</w:t>
      </w:r>
    </w:p>
    <w:p w14:paraId="5F0F5699"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这些活动也促进实现可持续发展目标</w:t>
      </w:r>
      <w:r w:rsidRPr="00BE595B">
        <w:rPr>
          <w:rFonts w:ascii="SimSun" w:hAnsi="SimSun"/>
          <w:color w:val="000000" w:themeColor="text1"/>
          <w:sz w:val="21"/>
          <w:szCs w:val="21"/>
        </w:rPr>
        <w:t>1、4、5、8、10、15和17，特别是具体目标1.4、2.4、2.5、4.4、5.5、8.2、8.3、15.6、17.16和17.17。</w:t>
      </w:r>
    </w:p>
    <w:p w14:paraId="6711E7B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全球挑战和伙伴关系</w:t>
      </w:r>
      <w:r w:rsidRPr="00BE595B">
        <w:rPr>
          <w:rFonts w:ascii="SimSun" w:hAnsi="SimSun"/>
          <w:sz w:val="21"/>
          <w:szCs w:val="21"/>
        </w:rPr>
        <w:t>领域，本组织通过产权组织知识产权与遗传资源、传统知识和民间文学艺术政府间委员会</w:t>
      </w:r>
      <w:r w:rsidRPr="001E4AB5">
        <w:rPr>
          <w:rFonts w:asciiTheme="minorEastAsia" w:eastAsiaTheme="minorEastAsia" w:hAnsiTheme="minorEastAsia"/>
          <w:sz w:val="21"/>
          <w:szCs w:val="21"/>
        </w:rPr>
        <w:t>（</w:t>
      </w:r>
      <w:r w:rsidRPr="00BE595B">
        <w:rPr>
          <w:rFonts w:ascii="SimSun" w:hAnsi="SimSun"/>
          <w:sz w:val="21"/>
          <w:szCs w:val="21"/>
        </w:rPr>
        <w:t>IGC</w:t>
      </w:r>
      <w:r w:rsidRPr="001E4AB5">
        <w:rPr>
          <w:rFonts w:asciiTheme="minorEastAsia" w:eastAsiaTheme="minorEastAsia" w:hAnsiTheme="minorEastAsia"/>
          <w:sz w:val="21"/>
          <w:szCs w:val="21"/>
        </w:rPr>
        <w:t>）</w:t>
      </w:r>
      <w:r w:rsidRPr="00BE595B">
        <w:rPr>
          <w:rFonts w:ascii="SimSun" w:hAnsi="SimSun"/>
          <w:sz w:val="21"/>
          <w:szCs w:val="21"/>
        </w:rPr>
        <w:t>的会议，促进实现具体目标2.5，该委员会在2023年举行了两次会议。此外，还组织了一个传统知识和传统文化表现形式特设专家组，以解决具体的法律、政策或技术问题。根据委员会的要求，</w:t>
      </w:r>
      <w:r w:rsidRPr="00BE595B">
        <w:rPr>
          <w:rStyle w:val="FootnoteReference"/>
          <w:rFonts w:ascii="SimSun" w:hAnsi="SimSun"/>
          <w:sz w:val="21"/>
          <w:szCs w:val="21"/>
        </w:rPr>
        <w:footnoteReference w:id="4"/>
      </w:r>
      <w:r w:rsidRPr="00BE595B">
        <w:rPr>
          <w:rFonts w:ascii="SimSun" w:hAnsi="SimSun"/>
          <w:sz w:val="21"/>
          <w:szCs w:val="21"/>
        </w:rPr>
        <w:t>秘书处组织了关于可能公开要求的特别虚拟专家会议，以及关于遗传资源、传统知识和传统文化表现形式的信息系统、登记册和数据库的虚拟技术会议。2023年7月，产权组织大会商定将IGC的任务授权延长至2024/2025两年期。还就IGC在2024年和2025年的工作计划达成了一致。根据产权组织成员国的决定，</w:t>
      </w:r>
      <w:r w:rsidRPr="00BE595B">
        <w:rPr>
          <w:rStyle w:val="FootnoteReference"/>
          <w:rFonts w:ascii="SimSun" w:hAnsi="SimSun"/>
          <w:sz w:val="21"/>
          <w:szCs w:val="21"/>
        </w:rPr>
        <w:footnoteReference w:id="5"/>
      </w:r>
      <w:r w:rsidRPr="00BE595B">
        <w:rPr>
          <w:rFonts w:ascii="SimSun" w:hAnsi="SimSun"/>
          <w:sz w:val="21"/>
          <w:szCs w:val="21"/>
        </w:rPr>
        <w:t>秘书处开始了外交会议的筹备工作。2023年下半年举行了两次会议。IGC召开了一次特别会议，就案文实质性条款的若干修订达成一致意见。外交会议筹备委员会批准了外交会议的必要模式，包括议事规则、文书的行政规定及最后条款草案、日期</w:t>
      </w:r>
      <w:r w:rsidRPr="001E4AB5">
        <w:rPr>
          <w:rFonts w:asciiTheme="minorEastAsia" w:eastAsiaTheme="minorEastAsia" w:hAnsiTheme="minorEastAsia"/>
          <w:sz w:val="21"/>
          <w:szCs w:val="21"/>
        </w:rPr>
        <w:t>（</w:t>
      </w:r>
      <w:r w:rsidRPr="00BE595B">
        <w:rPr>
          <w:rFonts w:ascii="SimSun" w:hAnsi="SimSun"/>
          <w:sz w:val="21"/>
          <w:szCs w:val="21"/>
        </w:rPr>
        <w:t>2024年5月13日至24日</w:t>
      </w:r>
      <w:r w:rsidRPr="001E4AB5">
        <w:rPr>
          <w:rFonts w:asciiTheme="minorEastAsia" w:eastAsiaTheme="minorEastAsia" w:hAnsiTheme="minorEastAsia"/>
          <w:sz w:val="21"/>
          <w:szCs w:val="21"/>
        </w:rPr>
        <w:t>）</w:t>
      </w:r>
      <w:r w:rsidRPr="00BE595B">
        <w:rPr>
          <w:rFonts w:ascii="SimSun" w:hAnsi="SimSun"/>
          <w:sz w:val="21"/>
          <w:szCs w:val="21"/>
        </w:rPr>
        <w:t>和地点</w:t>
      </w:r>
      <w:r w:rsidRPr="001E4AB5">
        <w:rPr>
          <w:rFonts w:asciiTheme="minorEastAsia" w:eastAsiaTheme="minorEastAsia" w:hAnsiTheme="minorEastAsia"/>
          <w:sz w:val="21"/>
          <w:szCs w:val="21"/>
        </w:rPr>
        <w:t>（</w:t>
      </w:r>
      <w:r w:rsidRPr="00BE595B">
        <w:rPr>
          <w:rFonts w:ascii="SimSun" w:hAnsi="SimSun"/>
          <w:sz w:val="21"/>
          <w:szCs w:val="21"/>
        </w:rPr>
        <w:t>日内瓦，产权组织总部</w:t>
      </w:r>
      <w:r w:rsidRPr="001E4AB5">
        <w:rPr>
          <w:rFonts w:asciiTheme="minorEastAsia" w:eastAsiaTheme="minorEastAsia" w:hAnsiTheme="minorEastAsia"/>
          <w:sz w:val="21"/>
          <w:szCs w:val="21"/>
        </w:rPr>
        <w:t>）</w:t>
      </w:r>
      <w:r w:rsidRPr="00BE595B">
        <w:rPr>
          <w:rFonts w:ascii="SimSun" w:hAnsi="SimSun"/>
          <w:sz w:val="21"/>
          <w:szCs w:val="21"/>
        </w:rPr>
        <w:t>。</w:t>
      </w:r>
    </w:p>
    <w:p w14:paraId="4B5C76B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WIPO GREEN计划持续促进实现具体目标2.4和2.a。</w:t>
      </w:r>
      <w:hyperlink r:id="rId12" w:history="1">
        <w:r w:rsidRPr="00BE595B">
          <w:rPr>
            <w:rStyle w:val="Hyperlink"/>
            <w:rFonts w:ascii="SimSun" w:hAnsi="SimSun"/>
            <w:sz w:val="21"/>
            <w:szCs w:val="21"/>
          </w:rPr>
          <w:t>《绿色技术手册》</w:t>
        </w:r>
      </w:hyperlink>
      <w:r w:rsidRPr="00BE595B">
        <w:rPr>
          <w:rFonts w:ascii="SimSun" w:hAnsi="SimSun"/>
          <w:sz w:val="21"/>
          <w:szCs w:val="21"/>
        </w:rPr>
        <w:t>第二版在于阿拉伯联合酋长国举行的《联合国气候变化框架公约》第二十八届缔约方会议上推出，介绍了应对城市、农业与土地利用以及高排放钢铁和水泥行业温室气体排放的技术趋势和实际解决方案。第二版重点围绕气候变化减缓的解决方案，并补充了2022年关于气候变化适应的出版物。在</w:t>
      </w:r>
      <w:hyperlink r:id="rId13" w:history="1">
        <w:r w:rsidRPr="00BE595B">
          <w:rPr>
            <w:rStyle w:val="Hyperlink"/>
            <w:rFonts w:ascii="SimSun" w:hAnsi="SimSun"/>
            <w:sz w:val="21"/>
            <w:szCs w:val="21"/>
          </w:rPr>
          <w:t>WIPO GREEN</w:t>
        </w:r>
        <w:r w:rsidR="00A83DFF" w:rsidRPr="00BE595B">
          <w:rPr>
            <w:rStyle w:val="Hyperlink"/>
            <w:rFonts w:ascii="SimSun" w:hAnsi="SimSun" w:hint="eastAsia"/>
            <w:sz w:val="21"/>
            <w:szCs w:val="21"/>
          </w:rPr>
          <w:t>创新</w:t>
        </w:r>
        <w:r w:rsidRPr="00BE595B">
          <w:rPr>
            <w:rStyle w:val="Hyperlink"/>
            <w:rFonts w:ascii="SimSun" w:hAnsi="SimSun"/>
            <w:sz w:val="21"/>
            <w:szCs w:val="21"/>
          </w:rPr>
          <w:t>技术</w:t>
        </w:r>
        <w:r w:rsidR="00A83DFF" w:rsidRPr="00BE595B">
          <w:rPr>
            <w:rStyle w:val="Hyperlink"/>
            <w:rFonts w:ascii="SimSun" w:hAnsi="SimSun" w:hint="eastAsia"/>
            <w:sz w:val="21"/>
            <w:szCs w:val="21"/>
          </w:rPr>
          <w:t>和需求</w:t>
        </w:r>
        <w:r w:rsidRPr="00BE595B">
          <w:rPr>
            <w:rStyle w:val="Hyperlink"/>
            <w:rFonts w:ascii="SimSun" w:hAnsi="SimSun"/>
            <w:sz w:val="21"/>
            <w:szCs w:val="21"/>
          </w:rPr>
          <w:t>数据库</w:t>
        </w:r>
      </w:hyperlink>
      <w:r w:rsidRPr="00BE595B">
        <w:rPr>
          <w:rFonts w:ascii="SimSun" w:hAnsi="SimSun"/>
          <w:sz w:val="21"/>
          <w:szCs w:val="21"/>
        </w:rPr>
        <w:t>中，超过600项气候减缓和适应技术已收录进《绿色技术手册》。《绿色技术手册》是与气候技术中心和网络</w:t>
      </w:r>
      <w:r w:rsidRPr="001E4AB5">
        <w:rPr>
          <w:rFonts w:asciiTheme="minorEastAsia" w:eastAsiaTheme="minorEastAsia" w:hAnsiTheme="minorEastAsia"/>
          <w:sz w:val="21"/>
          <w:szCs w:val="21"/>
        </w:rPr>
        <w:t>（</w:t>
      </w:r>
      <w:r w:rsidRPr="00BE595B">
        <w:rPr>
          <w:rFonts w:ascii="SimSun" w:hAnsi="SimSun"/>
          <w:sz w:val="21"/>
          <w:szCs w:val="21"/>
        </w:rPr>
        <w:t>CTCN</w:t>
      </w:r>
      <w:r w:rsidRPr="001E4AB5">
        <w:rPr>
          <w:rFonts w:asciiTheme="minorEastAsia" w:eastAsiaTheme="minorEastAsia" w:hAnsiTheme="minorEastAsia"/>
          <w:sz w:val="21"/>
          <w:szCs w:val="21"/>
        </w:rPr>
        <w:t>）</w:t>
      </w:r>
      <w:r w:rsidRPr="00BE595B">
        <w:rPr>
          <w:rFonts w:ascii="SimSun" w:hAnsi="SimSun"/>
          <w:sz w:val="21"/>
          <w:szCs w:val="21"/>
        </w:rPr>
        <w:t>及埃及科学研究与技术学院</w:t>
      </w:r>
      <w:r w:rsidRPr="001E4AB5">
        <w:rPr>
          <w:rFonts w:asciiTheme="minorEastAsia" w:eastAsiaTheme="minorEastAsia" w:hAnsiTheme="minorEastAsia"/>
          <w:sz w:val="21"/>
          <w:szCs w:val="21"/>
        </w:rPr>
        <w:t>（</w:t>
      </w:r>
      <w:r w:rsidRPr="00BE595B">
        <w:rPr>
          <w:rFonts w:ascii="SimSun" w:hAnsi="SimSun"/>
          <w:sz w:val="21"/>
          <w:szCs w:val="21"/>
        </w:rPr>
        <w:t>ASTR</w:t>
      </w:r>
      <w:r w:rsidRPr="001E4AB5">
        <w:rPr>
          <w:rFonts w:asciiTheme="minorEastAsia" w:eastAsiaTheme="minorEastAsia" w:hAnsiTheme="minorEastAsia"/>
          <w:sz w:val="21"/>
          <w:szCs w:val="21"/>
        </w:rPr>
        <w:t>）</w:t>
      </w:r>
      <w:r w:rsidRPr="00BE595B">
        <w:rPr>
          <w:rFonts w:ascii="SimSun" w:hAnsi="SimSun"/>
          <w:sz w:val="21"/>
          <w:szCs w:val="21"/>
        </w:rPr>
        <w:t>合作打造的成果。</w:t>
      </w:r>
    </w:p>
    <w:p w14:paraId="7F44EF98"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人类产生的二氧化碳排放主要有两个来源，即化石燃料以及土地利用的变化和管理。尽管化石燃料是主要来源，但土地利用</w:t>
      </w:r>
      <w:r w:rsidRPr="001E4AB5">
        <w:rPr>
          <w:rFonts w:asciiTheme="minorEastAsia" w:eastAsiaTheme="minorEastAsia" w:hAnsiTheme="minorEastAsia"/>
          <w:sz w:val="21"/>
          <w:szCs w:val="21"/>
        </w:rPr>
        <w:t>（</w:t>
      </w:r>
      <w:r w:rsidRPr="00BE595B">
        <w:rPr>
          <w:rFonts w:ascii="SimSun" w:hAnsi="SimSun"/>
          <w:sz w:val="21"/>
          <w:szCs w:val="21"/>
        </w:rPr>
        <w:t>变化</w:t>
      </w:r>
      <w:r w:rsidRPr="001E4AB5">
        <w:rPr>
          <w:rFonts w:asciiTheme="minorEastAsia" w:eastAsiaTheme="minorEastAsia" w:hAnsiTheme="minorEastAsia"/>
          <w:sz w:val="21"/>
          <w:szCs w:val="21"/>
        </w:rPr>
        <w:t>）</w:t>
      </w:r>
      <w:r w:rsidRPr="00BE595B">
        <w:rPr>
          <w:rFonts w:ascii="SimSun" w:hAnsi="SimSun"/>
          <w:sz w:val="21"/>
          <w:szCs w:val="21"/>
        </w:rPr>
        <w:t>估计占全球每年二氧化碳排放量的11%。</w:t>
      </w:r>
      <w:r w:rsidRPr="001E4AB5">
        <w:rPr>
          <w:rFonts w:asciiTheme="minorEastAsia" w:eastAsiaTheme="minorEastAsia" w:hAnsiTheme="minorEastAsia"/>
          <w:sz w:val="21"/>
          <w:szCs w:val="21"/>
        </w:rPr>
        <w:t>“</w:t>
      </w:r>
      <w:hyperlink r:id="rId14" w:history="1">
        <w:r w:rsidRPr="00BE595B">
          <w:rPr>
            <w:rStyle w:val="Hyperlink"/>
            <w:rFonts w:ascii="SimSun" w:hAnsi="SimSun"/>
            <w:sz w:val="21"/>
            <w:szCs w:val="21"/>
          </w:rPr>
          <w:t>农业与土地利用</w:t>
        </w:r>
      </w:hyperlink>
      <w:r w:rsidRPr="001E4AB5">
        <w:rPr>
          <w:rFonts w:asciiTheme="minorEastAsia" w:eastAsiaTheme="minorEastAsia" w:hAnsiTheme="minorEastAsia"/>
          <w:sz w:val="21"/>
          <w:szCs w:val="21"/>
        </w:rPr>
        <w:t>”</w:t>
      </w:r>
      <w:r w:rsidRPr="00BE595B">
        <w:rPr>
          <w:rFonts w:ascii="SimSun" w:hAnsi="SimSun"/>
          <w:sz w:val="21"/>
          <w:szCs w:val="21"/>
        </w:rPr>
        <w:t>这一章</w:t>
      </w:r>
      <w:r w:rsidRPr="00BE595B">
        <w:rPr>
          <w:rFonts w:ascii="SimSun" w:hAnsi="SimSun"/>
          <w:sz w:val="21"/>
          <w:szCs w:val="21"/>
          <w:shd w:val="clear" w:color="auto" w:fill="FFFFFF"/>
        </w:rPr>
        <w:t>提出了应对气候变化对粮食安全影响的解决方案，</w:t>
      </w:r>
      <w:r w:rsidRPr="00BE595B">
        <w:rPr>
          <w:rFonts w:ascii="SimSun" w:hAnsi="SimSun"/>
          <w:sz w:val="21"/>
          <w:szCs w:val="21"/>
        </w:rPr>
        <w:t>并重点介绍了创新和技术可以在减缓气候变化方面发挥重要作用的几个主要排放部门</w:t>
      </w:r>
      <w:r w:rsidRPr="00BE595B">
        <w:rPr>
          <w:rFonts w:ascii="SimSun" w:hAnsi="SimSun"/>
          <w:sz w:val="21"/>
          <w:szCs w:val="21"/>
          <w:shd w:val="clear" w:color="auto" w:fill="FFFFFF"/>
        </w:rPr>
        <w:t>。本章着眼于牧场管理和甲烷减排的具体畜牧技术，以及肉类和乳制品替代品。</w:t>
      </w:r>
      <w:r w:rsidRPr="00BE595B">
        <w:rPr>
          <w:rFonts w:ascii="SimSun" w:hAnsi="SimSun"/>
          <w:sz w:val="21"/>
          <w:szCs w:val="21"/>
        </w:rPr>
        <w:t>由于水稻田是主要的温室气体排放源，本章还探究了水稻种植。</w:t>
      </w:r>
      <w:r w:rsidRPr="00BE595B">
        <w:rPr>
          <w:rFonts w:ascii="SimSun" w:hAnsi="SimSun"/>
          <w:sz w:val="21"/>
          <w:szCs w:val="21"/>
          <w:shd w:val="clear" w:color="auto" w:fill="FFFFFF"/>
        </w:rPr>
        <w:t>本章进一步谈及了土壤碳增加、土地利用变化、森林管理和气候</w:t>
      </w:r>
      <w:r w:rsidRPr="00BE595B">
        <w:rPr>
          <w:rFonts w:ascii="SimSun" w:hAnsi="SimSun"/>
          <w:sz w:val="21"/>
          <w:szCs w:val="21"/>
        </w:rPr>
        <w:t>智能型农业使用，并提出了改进种植方法、减少收获损失和改良水稻品种的技术解决方案。由于气候变化加剧了农业和农民的脆弱性，他们必须适应缓慢发生和突然发生的变化，而且由于在正确的时间获得正确</w:t>
      </w:r>
      <w:r w:rsidRPr="00BE595B">
        <w:rPr>
          <w:rFonts w:ascii="SimSun" w:hAnsi="SimSun"/>
          <w:sz w:val="21"/>
          <w:szCs w:val="21"/>
          <w:shd w:val="clear" w:color="auto" w:fill="FFFFFF"/>
        </w:rPr>
        <w:t>的信息至关重要</w:t>
      </w:r>
      <w:r w:rsidRPr="00BE595B">
        <w:rPr>
          <w:rFonts w:ascii="SimSun" w:hAnsi="SimSun"/>
          <w:sz w:val="21"/>
          <w:szCs w:val="21"/>
        </w:rPr>
        <w:t>，</w:t>
      </w:r>
      <w:r w:rsidRPr="00BE595B">
        <w:rPr>
          <w:rFonts w:ascii="SimSun" w:hAnsi="SimSun"/>
          <w:sz w:val="21"/>
          <w:szCs w:val="21"/>
          <w:shd w:val="clear" w:color="auto" w:fill="FFFFFF"/>
        </w:rPr>
        <w:t>本章深入探讨了精准农业以及在该行业应对新的消费趋势和不断变化的气候条件时，农民可以使用的数字工具和数据类型</w:t>
      </w:r>
      <w:r w:rsidRPr="00BE595B">
        <w:rPr>
          <w:rFonts w:ascii="SimSun" w:hAnsi="SimSun"/>
          <w:sz w:val="21"/>
          <w:szCs w:val="21"/>
        </w:rPr>
        <w:t>。</w:t>
      </w:r>
      <w:r w:rsidRPr="00BE595B">
        <w:rPr>
          <w:rFonts w:ascii="SimSun" w:hAnsi="SimSun"/>
          <w:sz w:val="21"/>
          <w:szCs w:val="21"/>
        </w:rPr>
        <w:noBreakHyphen/>
      </w:r>
    </w:p>
    <w:p w14:paraId="6975503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Hyperlink"/>
          <w:rFonts w:ascii="SimSun" w:hAnsi="SimSun"/>
          <w:sz w:val="21"/>
          <w:szCs w:val="21"/>
        </w:rPr>
      </w:pPr>
      <w:r w:rsidRPr="00BE595B">
        <w:rPr>
          <w:rFonts w:ascii="SimSun" w:hAnsi="SimSun"/>
          <w:sz w:val="21"/>
          <w:szCs w:val="21"/>
        </w:rPr>
        <w:t>WIPO GREEN创新技术和需求数据库继续提供</w:t>
      </w:r>
      <w:r w:rsidRPr="00BE595B">
        <w:rPr>
          <w:rFonts w:ascii="SimSun" w:hAnsi="SimSun"/>
          <w:color w:val="000000" w:themeColor="text1"/>
          <w:sz w:val="21"/>
          <w:szCs w:val="21"/>
        </w:rPr>
        <w:t>免费的、解决方案导向的全球创新目录，将可持续解决方案与环境或气候变化问题相关需求联系起来。自2013年推出以来，该平台已拥有2500多名注册数据库用户，并促成了网络成员之间的1</w:t>
      </w:r>
      <w:r w:rsidR="00535230" w:rsidRPr="00BE595B">
        <w:rPr>
          <w:rFonts w:ascii="SimSun" w:hAnsi="SimSun" w:hint="eastAsia"/>
          <w:color w:val="000000" w:themeColor="text1"/>
          <w:sz w:val="21"/>
          <w:szCs w:val="21"/>
        </w:rPr>
        <w:t>,</w:t>
      </w:r>
      <w:r w:rsidRPr="00BE595B">
        <w:rPr>
          <w:rFonts w:ascii="SimSun" w:hAnsi="SimSun"/>
          <w:color w:val="000000" w:themeColor="text1"/>
          <w:sz w:val="21"/>
          <w:szCs w:val="21"/>
        </w:rPr>
        <w:t>000多次联系。该数据库还有一个关于</w:t>
      </w:r>
      <w:hyperlink r:id="rId15" w:history="1">
        <w:r w:rsidRPr="00BE595B">
          <w:rPr>
            <w:rStyle w:val="Hyperlink"/>
            <w:rFonts w:ascii="SimSun" w:hAnsi="SimSun"/>
            <w:sz w:val="21"/>
            <w:szCs w:val="21"/>
          </w:rPr>
          <w:t>农业和林业</w:t>
        </w:r>
      </w:hyperlink>
      <w:r w:rsidRPr="00BE595B">
        <w:rPr>
          <w:rFonts w:ascii="SimSun" w:hAnsi="SimSun"/>
          <w:color w:val="000000" w:themeColor="text1"/>
          <w:sz w:val="21"/>
          <w:szCs w:val="21"/>
        </w:rPr>
        <w:t>的部分，有13,164个条目。</w:t>
      </w:r>
    </w:p>
    <w:p w14:paraId="086333F9" w14:textId="1F8A3BFF"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2023年，WIPO GREEN继续其在</w:t>
      </w:r>
      <w:hyperlink r:id="rId16" w:history="1">
        <w:r w:rsidRPr="00BE595B">
          <w:rPr>
            <w:rStyle w:val="Hyperlink"/>
            <w:rFonts w:ascii="SimSun" w:hAnsi="SimSun"/>
            <w:sz w:val="21"/>
            <w:szCs w:val="21"/>
          </w:rPr>
          <w:t>拉丁美洲的加速项目</w:t>
        </w:r>
      </w:hyperlink>
      <w:r w:rsidRPr="00BE595B">
        <w:rPr>
          <w:rFonts w:ascii="SimSun" w:hAnsi="SimSun" w:hint="eastAsia"/>
          <w:sz w:val="21"/>
          <w:szCs w:val="21"/>
        </w:rPr>
        <w:t>，旨在推出与气候智能型农业相关的可持续技术解决方案，并将技术寻求者和提供者进一步联系起来。面对气候变化和人口不断增长带来的挑战，该项目围绕如何确保粮食安全这一关键问题展开。由于这可能需要对行业进行彻底转型，对创业、创新以及数字和生命科学技术进行系统投资，该项目通过研究和展示这些领域的新技术，帮助缩小技术提供者与面临环境挑战的组织之间的信息差距。项目合作伙伴包括阿根廷、巴西、智利和秘鲁的国家知识产权局和其他政府实体。该项目的第三阶段于2023年结束，第四阶段将于2024年实施，更加注重牵线搭桥。截至2023年底，已有250项技术解决方案和136项需求上传至WIPO GREEN数据库的</w:t>
      </w:r>
      <w:hyperlink r:id="rId17" w:history="1">
        <w:r w:rsidRPr="00BE595B">
          <w:rPr>
            <w:rStyle w:val="Hyperlink"/>
            <w:rFonts w:ascii="SimSun" w:hAnsi="SimSun"/>
            <w:sz w:val="21"/>
            <w:szCs w:val="21"/>
          </w:rPr>
          <w:t>拉丁美洲和加勒比海地区气候智能型农业数据集</w:t>
        </w:r>
      </w:hyperlink>
      <w:r w:rsidRPr="00BE595B">
        <w:rPr>
          <w:rFonts w:ascii="SimSun" w:hAnsi="SimSun"/>
          <w:sz w:val="21"/>
          <w:szCs w:val="21"/>
        </w:rPr>
        <w:t>。结果是建立了21个牵线搭桥和15个联系。</w:t>
      </w:r>
    </w:p>
    <w:p w14:paraId="46A5B806"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shd w:val="clear" w:color="auto" w:fill="FFFFFF"/>
        </w:rPr>
        <w:t>作为</w:t>
      </w:r>
      <w:hyperlink r:id="rId18" w:history="1">
        <w:r w:rsidRPr="00BE595B">
          <w:rPr>
            <w:rStyle w:val="Hyperlink"/>
            <w:rFonts w:ascii="SimSun" w:hAnsi="SimSun"/>
            <w:sz w:val="21"/>
            <w:szCs w:val="21"/>
            <w:shd w:val="clear" w:color="auto" w:fill="FFFFFF"/>
          </w:rPr>
          <w:t>阿根廷加速项目</w:t>
        </w:r>
      </w:hyperlink>
      <w:r w:rsidRPr="00BE595B">
        <w:rPr>
          <w:rFonts w:ascii="SimSun" w:hAnsi="SimSun"/>
          <w:sz w:val="21"/>
          <w:szCs w:val="21"/>
          <w:shd w:val="clear" w:color="auto" w:fill="FFFFFF"/>
        </w:rPr>
        <w:t>的一部分，该数据库的目录载有已确定的与阿根廷可持续耕作方式有关的部分需求和技术，以及关于应对环境挑战的各种创新绿色技术的详细信息，如先进的作物监测、综合虫害管理和作物轮作管理。2023年，WIPO GREEN开始在乌拉圭实施加速项目，重点关注畜牧业气候智能型技术方案。该项目在技术提供者和需求所有者之间建立了七种联系。</w:t>
      </w:r>
    </w:p>
    <w:p w14:paraId="13B55BA7"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这些WIPO GREEN</w:t>
      </w:r>
      <w:r w:rsidR="001E4AB5" w:rsidRPr="00BE595B">
        <w:rPr>
          <w:rFonts w:ascii="SimSun" w:hAnsi="SimSun" w:hint="eastAsia"/>
          <w:sz w:val="21"/>
          <w:szCs w:val="21"/>
        </w:rPr>
        <w:t>举措</w:t>
      </w:r>
      <w:r w:rsidRPr="00BE595B">
        <w:rPr>
          <w:rFonts w:ascii="SimSun" w:hAnsi="SimSun"/>
          <w:sz w:val="21"/>
          <w:szCs w:val="21"/>
        </w:rPr>
        <w:t>也促进实现具体目标13.1和13.3。</w:t>
      </w:r>
    </w:p>
    <w:p w14:paraId="56CDA165"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合作促进发展</w:t>
      </w:r>
      <w:r w:rsidRPr="00BE595B">
        <w:rPr>
          <w:rFonts w:ascii="SimSun" w:hAnsi="SimSun"/>
          <w:sz w:val="21"/>
          <w:szCs w:val="21"/>
        </w:rPr>
        <w:t>领域，第三次知识产权与发展国际会议于2023年4月24日以混合形式举行，主题为</w:t>
      </w:r>
      <w:r w:rsidRPr="001E4AB5">
        <w:rPr>
          <w:rFonts w:asciiTheme="minorEastAsia" w:eastAsiaTheme="minorEastAsia" w:hAnsiTheme="minorEastAsia"/>
          <w:sz w:val="21"/>
          <w:szCs w:val="21"/>
        </w:rPr>
        <w:t>“</w:t>
      </w:r>
      <w:hyperlink r:id="rId19" w:history="1">
        <w:r w:rsidRPr="00BE595B">
          <w:rPr>
            <w:rStyle w:val="Hyperlink"/>
            <w:rFonts w:ascii="SimSun" w:hAnsi="SimSun"/>
            <w:sz w:val="21"/>
            <w:szCs w:val="21"/>
          </w:rPr>
          <w:t>知识产权和创新促进可持续农业发展</w:t>
        </w:r>
      </w:hyperlink>
      <w:r w:rsidRPr="001E4AB5">
        <w:rPr>
          <w:rFonts w:asciiTheme="minorEastAsia" w:eastAsiaTheme="minorEastAsia" w:hAnsiTheme="minorEastAsia"/>
          <w:sz w:val="21"/>
          <w:szCs w:val="21"/>
        </w:rPr>
        <w:t>”</w:t>
      </w:r>
      <w:r w:rsidRPr="00BE595B">
        <w:rPr>
          <w:rFonts w:ascii="SimSun" w:hAnsi="SimSun"/>
          <w:sz w:val="21"/>
          <w:szCs w:val="21"/>
        </w:rPr>
        <w:t>。这次会议汇聚了600多名政府间组织</w:t>
      </w:r>
      <w:r w:rsidRPr="008B7D33">
        <w:rPr>
          <w:rFonts w:asciiTheme="minorEastAsia" w:eastAsiaTheme="minorEastAsia" w:hAnsiTheme="minorEastAsia"/>
          <w:sz w:val="21"/>
          <w:szCs w:val="21"/>
        </w:rPr>
        <w:t>（</w:t>
      </w:r>
      <w:r w:rsidRPr="00BE595B">
        <w:rPr>
          <w:rFonts w:ascii="SimSun" w:hAnsi="SimSun"/>
          <w:sz w:val="21"/>
          <w:szCs w:val="21"/>
        </w:rPr>
        <w:t>IGO</w:t>
      </w:r>
      <w:r w:rsidRPr="008B7D33">
        <w:rPr>
          <w:rFonts w:asciiTheme="minorEastAsia" w:eastAsiaTheme="minorEastAsia" w:hAnsiTheme="minorEastAsia"/>
          <w:sz w:val="21"/>
          <w:szCs w:val="21"/>
        </w:rPr>
        <w:t>）</w:t>
      </w:r>
      <w:r w:rsidRPr="00BE595B">
        <w:rPr>
          <w:rFonts w:ascii="SimSun" w:hAnsi="SimSun"/>
          <w:sz w:val="21"/>
          <w:szCs w:val="21"/>
        </w:rPr>
        <w:t>、非政府组织</w:t>
      </w:r>
      <w:r w:rsidRPr="008B7D33">
        <w:rPr>
          <w:rFonts w:asciiTheme="minorEastAsia" w:eastAsiaTheme="minorEastAsia" w:hAnsiTheme="minorEastAsia"/>
          <w:sz w:val="21"/>
          <w:szCs w:val="21"/>
        </w:rPr>
        <w:t>（</w:t>
      </w:r>
      <w:r w:rsidRPr="00BE595B">
        <w:rPr>
          <w:rFonts w:ascii="SimSun" w:hAnsi="SimSun"/>
          <w:sz w:val="21"/>
          <w:szCs w:val="21"/>
        </w:rPr>
        <w:t>NGO</w:t>
      </w:r>
      <w:r w:rsidRPr="008B7D33">
        <w:rPr>
          <w:rFonts w:asciiTheme="minorEastAsia" w:eastAsiaTheme="minorEastAsia" w:hAnsiTheme="minorEastAsia"/>
          <w:sz w:val="21"/>
          <w:szCs w:val="21"/>
        </w:rPr>
        <w:t>）</w:t>
      </w:r>
      <w:r w:rsidRPr="00BE595B">
        <w:rPr>
          <w:rFonts w:ascii="SimSun" w:hAnsi="SimSun"/>
          <w:sz w:val="21"/>
          <w:szCs w:val="21"/>
        </w:rPr>
        <w:t>、学术界和私营部门的代表，就知识产权、创新和技术对可持续农业的重要性以及提高农民和农业价值链中其他利益攸关方关于知识产权工具促进技术发展的认识和能力建设的必要性进行了交流。它强调了知识产权在促进农业创新以应对全球挑战方面的作用。所进行的讨论促进实现具体目标2.4。</w:t>
      </w:r>
    </w:p>
    <w:p w14:paraId="30ED54A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项目实施方面，有两个项目旨在支持农业生产者利用知识产权制度为其产品增值，并通过品牌推广和营销战略进入新市场。在阿曼，58名创业型乳香采摘者接受了品牌推广、商业化、营销和贸易扩张方面的培训。后续将邀请30多名学员参加个性化辅导课程。在格鲁吉亚，20家奶酪生产商获得了支持，以增加古达奶酪注册地理标志的价值。这些项目通过提高农业生产力和小规模粮食生产者的收入，促进实现具体目标2.3。这些项目还通过鼓励创造就业机会，促进实现具体目标8.3，并通过增加商品价值，促进实现具体目标9.b。</w:t>
      </w:r>
    </w:p>
    <w:p w14:paraId="2377EB3E" w14:textId="605158CA" w:rsidR="002A674D"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关于地理标志的另一个项目</w:t>
      </w:r>
      <w:r w:rsidRPr="001E4AB5">
        <w:rPr>
          <w:rFonts w:asciiTheme="minorEastAsia" w:eastAsiaTheme="minorEastAsia" w:hAnsiTheme="minorEastAsia"/>
          <w:sz w:val="21"/>
          <w:szCs w:val="21"/>
        </w:rPr>
        <w:t>——培训和辅导——</w:t>
      </w:r>
      <w:r w:rsidRPr="008B7D33">
        <w:rPr>
          <w:rFonts w:ascii="SimSun" w:hAnsi="SimSun" w:cs="SimSun" w:hint="eastAsia"/>
          <w:sz w:val="21"/>
          <w:szCs w:val="21"/>
        </w:rPr>
        <w:t>旨</w:t>
      </w:r>
      <w:r w:rsidRPr="00BE595B">
        <w:rPr>
          <w:rFonts w:ascii="SimSun" w:hAnsi="SimSun"/>
          <w:sz w:val="21"/>
          <w:szCs w:val="21"/>
        </w:rPr>
        <w:t>在加强保护地理标志和相关知识产权的立法和体制框架，并通过战略性使用地理标志和相关知识产权，提高与原产地相关的当地优质农产品生产者的竞争力。制定与原产地相关的农产品注册、商业化和品牌推广战略，将使这些产品能够更好地在市场上得到推广。该项目的受益国是摩洛哥、沙特阿拉伯、</w:t>
      </w:r>
      <w:r w:rsidR="00A83DFF">
        <w:rPr>
          <w:rFonts w:ascii="SimSun" w:hAnsi="SimSun" w:cs="SimSun" w:hint="eastAsia"/>
          <w:sz w:val="21"/>
          <w:szCs w:val="21"/>
        </w:rPr>
        <w:t>索马里、</w:t>
      </w:r>
      <w:r w:rsidRPr="00BE595B">
        <w:rPr>
          <w:rFonts w:ascii="SimSun" w:hAnsi="SimSun"/>
          <w:sz w:val="21"/>
          <w:szCs w:val="21"/>
        </w:rPr>
        <w:t>阿拉伯叙利亚共和国、突尼斯</w:t>
      </w:r>
      <w:r w:rsidR="00937BD0">
        <w:rPr>
          <w:rFonts w:ascii="SimSun" w:hAnsi="SimSun" w:cs="SimSun" w:hint="eastAsia"/>
          <w:sz w:val="21"/>
          <w:szCs w:val="21"/>
        </w:rPr>
        <w:t>和</w:t>
      </w:r>
      <w:r w:rsidRPr="00BE595B">
        <w:rPr>
          <w:rFonts w:ascii="SimSun" w:hAnsi="SimSun"/>
          <w:sz w:val="21"/>
          <w:szCs w:val="21"/>
        </w:rPr>
        <w:t>阿拉伯联合酋长国。该项目促进实现具体目标2.4和2.a</w:t>
      </w:r>
      <w:r w:rsidR="00E14274">
        <w:rPr>
          <w:rFonts w:ascii="SimSun" w:hAnsi="SimSun" w:hint="eastAsia"/>
          <w:sz w:val="21"/>
          <w:szCs w:val="21"/>
        </w:rPr>
        <w:t>。</w:t>
      </w:r>
    </w:p>
    <w:p w14:paraId="38D87797"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可持续发展目标3：确保健康的生活方式，促进各年龄段人群的福祉</w:t>
      </w:r>
    </w:p>
    <w:p w14:paraId="734DFDF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品牌和外观设计</w:t>
      </w:r>
      <w:r w:rsidRPr="00BE595B">
        <w:rPr>
          <w:rFonts w:ascii="SimSun" w:hAnsi="SimSun"/>
          <w:sz w:val="21"/>
          <w:szCs w:val="21"/>
        </w:rPr>
        <w:t>领域，产权组织继续与世界卫生组织</w:t>
      </w:r>
      <w:r w:rsidRPr="001E4AB5">
        <w:rPr>
          <w:rFonts w:asciiTheme="minorEastAsia" w:eastAsiaTheme="minorEastAsia" w:hAnsiTheme="minorEastAsia"/>
          <w:sz w:val="21"/>
          <w:szCs w:val="21"/>
        </w:rPr>
        <w:t>（</w:t>
      </w:r>
      <w:r w:rsidRPr="00BE595B">
        <w:rPr>
          <w:rFonts w:ascii="SimSun" w:hAnsi="SimSun"/>
          <w:sz w:val="21"/>
          <w:szCs w:val="21"/>
        </w:rPr>
        <w:t>世卫组织</w:t>
      </w:r>
      <w:r w:rsidRPr="001E4AB5">
        <w:rPr>
          <w:rFonts w:asciiTheme="minorEastAsia" w:eastAsiaTheme="minorEastAsia" w:hAnsiTheme="minorEastAsia"/>
          <w:sz w:val="21"/>
          <w:szCs w:val="21"/>
        </w:rPr>
        <w:t>）</w:t>
      </w:r>
      <w:r w:rsidRPr="00BE595B">
        <w:rPr>
          <w:rFonts w:ascii="SimSun" w:hAnsi="SimSun"/>
          <w:sz w:val="21"/>
          <w:szCs w:val="21"/>
        </w:rPr>
        <w:t>就国际药用物质非专利名称</w:t>
      </w:r>
      <w:r w:rsidRPr="001E4AB5">
        <w:rPr>
          <w:rFonts w:asciiTheme="minorEastAsia" w:eastAsiaTheme="minorEastAsia" w:hAnsiTheme="minorEastAsia"/>
          <w:sz w:val="21"/>
          <w:szCs w:val="21"/>
        </w:rPr>
        <w:t>（</w:t>
      </w:r>
      <w:r w:rsidRPr="00BE595B">
        <w:rPr>
          <w:rFonts w:ascii="SimSun" w:hAnsi="SimSun"/>
          <w:sz w:val="21"/>
          <w:szCs w:val="21"/>
        </w:rPr>
        <w:t>INN</w:t>
      </w:r>
      <w:r w:rsidRPr="001E4AB5">
        <w:rPr>
          <w:rFonts w:asciiTheme="minorEastAsia" w:eastAsiaTheme="minorEastAsia" w:hAnsiTheme="minorEastAsia"/>
          <w:sz w:val="21"/>
          <w:szCs w:val="21"/>
        </w:rPr>
        <w:t>）</w:t>
      </w:r>
      <w:r w:rsidRPr="00BE595B">
        <w:rPr>
          <w:rFonts w:ascii="SimSun" w:hAnsi="SimSun"/>
          <w:sz w:val="21"/>
          <w:szCs w:val="21"/>
        </w:rPr>
        <w:t>开展合作。继2018年达成交换世卫组织INN全球数据中心和产权组织全球品牌数据库</w:t>
      </w:r>
      <w:r w:rsidRPr="001E4AB5">
        <w:rPr>
          <w:rFonts w:asciiTheme="minorEastAsia" w:eastAsiaTheme="minorEastAsia" w:hAnsiTheme="minorEastAsia"/>
          <w:sz w:val="21"/>
          <w:szCs w:val="21"/>
        </w:rPr>
        <w:t>（</w:t>
      </w:r>
      <w:r w:rsidRPr="00BE595B">
        <w:rPr>
          <w:rFonts w:ascii="SimSun" w:hAnsi="SimSun"/>
          <w:sz w:val="21"/>
          <w:szCs w:val="21"/>
        </w:rPr>
        <w:t>GBD</w:t>
      </w:r>
      <w:r w:rsidRPr="001E4AB5">
        <w:rPr>
          <w:rFonts w:asciiTheme="minorEastAsia" w:eastAsiaTheme="minorEastAsia" w:hAnsiTheme="minorEastAsia"/>
          <w:sz w:val="21"/>
          <w:szCs w:val="21"/>
        </w:rPr>
        <w:t>）</w:t>
      </w:r>
      <w:r w:rsidRPr="00BE595B">
        <w:rPr>
          <w:rFonts w:ascii="SimSun" w:hAnsi="SimSun"/>
          <w:sz w:val="21"/>
          <w:szCs w:val="21"/>
        </w:rPr>
        <w:t>中所载信息的谅解备忘录后，两个组织合作向成员国提供关于新拟议和推荐的国际非专利名称的最新信息，从而促进实现具体目标3.3。以电子通信取代之前的纸质通函和硬质载体</w:t>
      </w:r>
      <w:r w:rsidRPr="001E4AB5">
        <w:rPr>
          <w:rFonts w:asciiTheme="minorEastAsia" w:eastAsiaTheme="minorEastAsia" w:hAnsiTheme="minorEastAsia"/>
          <w:sz w:val="21"/>
          <w:szCs w:val="21"/>
        </w:rPr>
        <w:t>（</w:t>
      </w:r>
      <w:r w:rsidRPr="00BE595B">
        <w:rPr>
          <w:rFonts w:ascii="SimSun" w:hAnsi="SimSun"/>
          <w:sz w:val="21"/>
          <w:szCs w:val="21"/>
        </w:rPr>
        <w:t>光盘</w:t>
      </w:r>
      <w:r w:rsidRPr="001E4AB5">
        <w:rPr>
          <w:rFonts w:asciiTheme="minorEastAsia" w:eastAsiaTheme="minorEastAsia" w:hAnsiTheme="minorEastAsia"/>
          <w:sz w:val="21"/>
          <w:szCs w:val="21"/>
        </w:rPr>
        <w:t>）</w:t>
      </w:r>
      <w:r w:rsidRPr="00BE595B">
        <w:rPr>
          <w:rFonts w:ascii="SimSun" w:hAnsi="SimSun"/>
          <w:sz w:val="21"/>
          <w:szCs w:val="21"/>
        </w:rPr>
        <w:t>进一步促进实现可持续发展目标13。</w:t>
      </w:r>
    </w:p>
    <w:p w14:paraId="61639805"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这样，成员国的商标审查员可以以无障碍格式在全球品牌数据库中检索INN名称，并能使用不同的筛选条件，以便在INN和言语商标之间进行文本比较。这项新工具使审查员能够免费预留这些名称，供全世界药剂师和医疗从业人员使用，从而防止错误用药，实现公共利益。同时，已正确授予的现有药物产品商标方面的信息是避免这一事关全球健康福祉的重要领域出现假冒的关键。各国药典委员会和药物命名专家也可以使用全球品牌数据库中的商标数据，以避免提出或建议可能导致与现有商标混淆的新INN名称，从而有助于提高药物警戒性和药物的可靠性。为应对COVID-19病毒传播造成的卫生紧急情况，产权组织全球品牌数据库于2023年1月和8月公布了三种特别版和增编，其中载有17个拟用作预防SARS</w:t>
      </w:r>
      <w:r w:rsidRPr="00BE595B">
        <w:rPr>
          <w:rFonts w:ascii="SimSun" w:hAnsi="SimSun"/>
          <w:sz w:val="21"/>
          <w:szCs w:val="21"/>
        </w:rPr>
        <w:noBreakHyphen/>
        <w:t>CoV</w:t>
      </w:r>
      <w:r w:rsidRPr="00BE595B">
        <w:rPr>
          <w:rFonts w:ascii="SimSun" w:hAnsi="SimSun"/>
          <w:sz w:val="21"/>
          <w:szCs w:val="21"/>
        </w:rPr>
        <w:noBreakHyphen/>
        <w:t>2严重急性呼吸系统综合症变体的疫苗活性成分的INN名称，作为第128号清单增编</w:t>
      </w:r>
      <w:r w:rsidRPr="001E4AB5">
        <w:rPr>
          <w:rFonts w:asciiTheme="minorEastAsia" w:eastAsiaTheme="minorEastAsia" w:hAnsiTheme="minorEastAsia"/>
          <w:sz w:val="21"/>
          <w:szCs w:val="21"/>
        </w:rPr>
        <w:t>（</w:t>
      </w:r>
      <w:r w:rsidRPr="00BE595B">
        <w:rPr>
          <w:rFonts w:ascii="SimSun" w:hAnsi="SimSun"/>
          <w:sz w:val="21"/>
          <w:szCs w:val="21"/>
        </w:rPr>
        <w:t>COVID-19特刊</w:t>
      </w:r>
      <w:r w:rsidRPr="001E4AB5">
        <w:rPr>
          <w:rFonts w:asciiTheme="minorEastAsia" w:eastAsiaTheme="minorEastAsia" w:hAnsiTheme="minorEastAsia"/>
          <w:sz w:val="21"/>
          <w:szCs w:val="21"/>
        </w:rPr>
        <w:t>）</w:t>
      </w:r>
      <w:r w:rsidRPr="00BE595B">
        <w:rPr>
          <w:rFonts w:ascii="SimSun" w:hAnsi="SimSun"/>
          <w:sz w:val="21"/>
          <w:szCs w:val="21"/>
        </w:rPr>
        <w:t>和第129号清单增编1</w:t>
      </w:r>
      <w:r w:rsidRPr="001E4AB5">
        <w:rPr>
          <w:rFonts w:asciiTheme="minorEastAsia" w:eastAsiaTheme="minorEastAsia" w:hAnsiTheme="minorEastAsia"/>
          <w:sz w:val="21"/>
          <w:szCs w:val="21"/>
        </w:rPr>
        <w:t>（</w:t>
      </w:r>
      <w:r w:rsidRPr="00BE595B">
        <w:rPr>
          <w:rFonts w:ascii="SimSun" w:hAnsi="SimSun"/>
          <w:sz w:val="21"/>
          <w:szCs w:val="21"/>
        </w:rPr>
        <w:t>COVID-19特刊</w:t>
      </w:r>
      <w:r w:rsidRPr="001E4AB5">
        <w:rPr>
          <w:rFonts w:asciiTheme="minorEastAsia" w:eastAsiaTheme="minorEastAsia" w:hAnsiTheme="minorEastAsia"/>
          <w:sz w:val="21"/>
          <w:szCs w:val="21"/>
        </w:rPr>
        <w:t>）</w:t>
      </w:r>
      <w:r w:rsidRPr="00BE595B">
        <w:rPr>
          <w:rFonts w:ascii="SimSun" w:hAnsi="SimSun"/>
          <w:sz w:val="21"/>
          <w:szCs w:val="21"/>
        </w:rPr>
        <w:t>。</w:t>
      </w:r>
    </w:p>
    <w:p w14:paraId="5C72F1F7"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专利和技术</w:t>
      </w:r>
      <w:r w:rsidRPr="00BE595B">
        <w:rPr>
          <w:rFonts w:ascii="SimSun" w:hAnsi="SimSun"/>
          <w:sz w:val="21"/>
          <w:szCs w:val="21"/>
        </w:rPr>
        <w:t>领域，平台PAT-INFORMED提供了一个搜索引擎和开放式数据库，方便采购机构和公众了解药品的专利状况。该数据库于2018年启动，是产权组织、国际药品制造商协会联合会以及21家领先的研究型生物制药公司的倡议。截至2023年底，该数据库包含25个国际非专利名称集、735个专利族和20,786项专利。这一举措促进实现具体目标3.d。</w:t>
      </w:r>
    </w:p>
    <w:p w14:paraId="27BDEC3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全球挑战和伙伴关系</w:t>
      </w:r>
      <w:r w:rsidRPr="00BE595B">
        <w:rPr>
          <w:rFonts w:ascii="SimSun" w:hAnsi="SimSun"/>
          <w:sz w:val="21"/>
          <w:szCs w:val="21"/>
        </w:rPr>
        <w:t>领域，若干全球卫生活动促进实现具体目标3.3、3.b、3.4和3.8，其中一些具体目标将在下文重点介绍。</w:t>
      </w:r>
    </w:p>
    <w:p w14:paraId="2BB26FEB"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83704">
        <w:rPr>
          <w:rFonts w:ascii="SimSun" w:hAnsi="SimSun"/>
          <w:sz w:val="21"/>
          <w:szCs w:val="21"/>
        </w:rPr>
        <w:t>产权组织全球挑战创新获取研究金</w:t>
      </w:r>
      <w:r w:rsidRPr="00BE595B">
        <w:rPr>
          <w:rFonts w:ascii="SimSun" w:hAnsi="SimSun"/>
          <w:sz w:val="21"/>
          <w:szCs w:val="21"/>
        </w:rPr>
        <w:t>于2023年10月启动，与印度科技部生物技术局、印度理工学院新德里校区</w:t>
      </w:r>
      <w:r w:rsidRPr="001E4AB5">
        <w:rPr>
          <w:rFonts w:asciiTheme="minorEastAsia" w:eastAsiaTheme="minorEastAsia" w:hAnsiTheme="minorEastAsia"/>
          <w:sz w:val="21"/>
          <w:szCs w:val="21"/>
        </w:rPr>
        <w:t>（</w:t>
      </w:r>
      <w:r w:rsidRPr="00BE595B">
        <w:rPr>
          <w:rFonts w:ascii="SimSun" w:hAnsi="SimSun"/>
          <w:sz w:val="21"/>
          <w:szCs w:val="21"/>
        </w:rPr>
        <w:t>IIT Delhi</w:t>
      </w:r>
      <w:r w:rsidRPr="001E4AB5">
        <w:rPr>
          <w:rFonts w:asciiTheme="minorEastAsia" w:eastAsiaTheme="minorEastAsia" w:hAnsiTheme="minorEastAsia"/>
          <w:sz w:val="21"/>
          <w:szCs w:val="21"/>
        </w:rPr>
        <w:t>）</w:t>
      </w:r>
      <w:r w:rsidRPr="00BE595B">
        <w:rPr>
          <w:rFonts w:ascii="SimSun" w:hAnsi="SimSun"/>
          <w:sz w:val="21"/>
          <w:szCs w:val="21"/>
        </w:rPr>
        <w:t>和印度理工学院孟买校区</w:t>
      </w:r>
      <w:r w:rsidRPr="001E4AB5">
        <w:rPr>
          <w:rFonts w:asciiTheme="minorEastAsia" w:eastAsiaTheme="minorEastAsia" w:hAnsiTheme="minorEastAsia"/>
          <w:sz w:val="21"/>
          <w:szCs w:val="21"/>
        </w:rPr>
        <w:t>（</w:t>
      </w:r>
      <w:r w:rsidRPr="00BE595B">
        <w:rPr>
          <w:rFonts w:ascii="SimSun" w:hAnsi="SimSun"/>
          <w:sz w:val="21"/>
          <w:szCs w:val="21"/>
        </w:rPr>
        <w:t>IIT Bombay</w:t>
      </w:r>
      <w:r w:rsidRPr="001E4AB5">
        <w:rPr>
          <w:rFonts w:asciiTheme="minorEastAsia" w:eastAsiaTheme="minorEastAsia" w:hAnsiTheme="minorEastAsia"/>
          <w:sz w:val="21"/>
          <w:szCs w:val="21"/>
        </w:rPr>
        <w:t>）</w:t>
      </w:r>
      <w:r w:rsidRPr="00BE595B">
        <w:rPr>
          <w:rFonts w:ascii="SimSun" w:hAnsi="SimSun"/>
          <w:sz w:val="21"/>
          <w:szCs w:val="21"/>
        </w:rPr>
        <w:t>共同发起。生物技术局的生物设计项目旨在为有抱负的医疗技术创新者提供培训，以确定尚未满足的卫生相关需求，发明卫生技术来满足这些需求，并帮助创新者通过初创企业、公司或其他渠道将这些技术应用于患者护理。产权组织将资助四名来自非洲的医疗技术研究员参加2024年的首批培训。该研究金也促进实现具体目标17.6和17.7。</w:t>
      </w:r>
    </w:p>
    <w:p w14:paraId="798AA3E2"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iCs/>
          <w:sz w:val="21"/>
          <w:szCs w:val="21"/>
        </w:rPr>
      </w:pPr>
      <w:r w:rsidRPr="00BE595B">
        <w:rPr>
          <w:rFonts w:ascii="SimSun" w:hAnsi="SimSun"/>
          <w:iCs/>
          <w:sz w:val="21"/>
          <w:szCs w:val="21"/>
        </w:rPr>
        <w:t>产权组织全球挑战创新获取研究金与斯坦福生物设计创新研究金合作，也于2023年成立，旨在提供机会，以获得与知识产权相关的药品获取和技术问题方面的知识和经验。该研究员一直在领导一项与联合国技术银行和美敦力公司的联合研究，研究支持最不发达国家</w:t>
      </w:r>
      <w:r w:rsidRPr="001E4AB5">
        <w:rPr>
          <w:rFonts w:asciiTheme="minorEastAsia" w:eastAsiaTheme="minorEastAsia" w:hAnsiTheme="minorEastAsia"/>
          <w:iCs/>
          <w:sz w:val="21"/>
          <w:szCs w:val="21"/>
        </w:rPr>
        <w:t>（</w:t>
      </w:r>
      <w:r w:rsidRPr="00BE595B">
        <w:rPr>
          <w:rFonts w:ascii="SimSun" w:hAnsi="SimSun"/>
          <w:iCs/>
          <w:sz w:val="21"/>
          <w:szCs w:val="21"/>
        </w:rPr>
        <w:t>LDC</w:t>
      </w:r>
      <w:r w:rsidRPr="001E4AB5">
        <w:rPr>
          <w:rFonts w:asciiTheme="minorEastAsia" w:eastAsiaTheme="minorEastAsia" w:hAnsiTheme="minorEastAsia"/>
          <w:iCs/>
          <w:sz w:val="21"/>
          <w:szCs w:val="21"/>
        </w:rPr>
        <w:t>）</w:t>
      </w:r>
      <w:r w:rsidRPr="00BE595B">
        <w:rPr>
          <w:rFonts w:ascii="SimSun" w:hAnsi="SimSun"/>
          <w:iCs/>
          <w:sz w:val="21"/>
          <w:szCs w:val="21"/>
        </w:rPr>
        <w:t>医疗技术开发和获取所需的知识产权和创新生态系统。该研究金同样促进实现具体目标17.6和17.7。</w:t>
      </w:r>
    </w:p>
    <w:p w14:paraId="52364642"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iCs/>
          <w:sz w:val="21"/>
          <w:szCs w:val="21"/>
        </w:rPr>
      </w:pPr>
      <w:r w:rsidRPr="00BE595B">
        <w:rPr>
          <w:rFonts w:ascii="SimSun" w:hAnsi="SimSun"/>
          <w:iCs/>
          <w:sz w:val="21"/>
          <w:szCs w:val="21"/>
        </w:rPr>
        <w:t>第三届卫生专员知识产权与卫生对话于2023年举行，涵盖以下主题：</w:t>
      </w:r>
      <w:r w:rsidR="00535230" w:rsidRPr="00BE595B">
        <w:rPr>
          <w:rFonts w:ascii="SimSun" w:hAnsi="SimSun" w:hint="eastAsia"/>
          <w:iCs/>
          <w:sz w:val="21"/>
          <w:szCs w:val="21"/>
        </w:rPr>
        <w:t>（</w:t>
      </w:r>
      <w:r w:rsidRPr="00BE595B">
        <w:rPr>
          <w:rFonts w:ascii="SimSun" w:hAnsi="SimSun"/>
          <w:iCs/>
          <w:sz w:val="21"/>
          <w:szCs w:val="21"/>
        </w:rPr>
        <w:t>i</w:t>
      </w:r>
      <w:r w:rsidR="00535230" w:rsidRPr="00BE595B">
        <w:rPr>
          <w:rFonts w:ascii="SimSun" w:hAnsi="SimSun" w:hint="eastAsia"/>
          <w:iCs/>
          <w:sz w:val="21"/>
          <w:szCs w:val="21"/>
        </w:rPr>
        <w:t>）</w:t>
      </w:r>
      <w:r w:rsidRPr="00BE595B">
        <w:rPr>
          <w:rFonts w:ascii="SimSun" w:hAnsi="SimSun"/>
          <w:iCs/>
          <w:sz w:val="21"/>
          <w:szCs w:val="21"/>
        </w:rPr>
        <w:t>使用强制许可扩大药品获取的实践经验；</w:t>
      </w:r>
      <w:r w:rsidR="00535230" w:rsidRPr="00BE595B">
        <w:rPr>
          <w:rFonts w:ascii="SimSun" w:hAnsi="SimSun" w:hint="eastAsia"/>
          <w:iCs/>
          <w:sz w:val="21"/>
          <w:szCs w:val="21"/>
        </w:rPr>
        <w:t>（</w:t>
      </w:r>
      <w:r w:rsidRPr="00BE595B">
        <w:rPr>
          <w:rFonts w:ascii="SimSun" w:hAnsi="SimSun"/>
          <w:iCs/>
          <w:sz w:val="21"/>
          <w:szCs w:val="21"/>
        </w:rPr>
        <w:t>ii</w:t>
      </w:r>
      <w:r w:rsidR="00535230" w:rsidRPr="00BE595B">
        <w:rPr>
          <w:rFonts w:ascii="SimSun" w:hAnsi="SimSun" w:hint="eastAsia"/>
          <w:iCs/>
          <w:sz w:val="21"/>
          <w:szCs w:val="21"/>
        </w:rPr>
        <w:t>）</w:t>
      </w:r>
      <w:r w:rsidRPr="00BE595B">
        <w:rPr>
          <w:rFonts w:ascii="SimSun" w:hAnsi="SimSun"/>
          <w:iCs/>
          <w:sz w:val="21"/>
          <w:szCs w:val="21"/>
        </w:rPr>
        <w:t>知识和技术转让的公共资金、药品本地生产的知识产权许可，以及产权组织关于知识产权制度与获取和惠益分享之间相互关系的工作；</w:t>
      </w:r>
      <w:r w:rsidR="00535230" w:rsidRPr="00BE595B">
        <w:rPr>
          <w:rFonts w:ascii="SimSun" w:hAnsi="SimSun" w:hint="eastAsia"/>
          <w:iCs/>
          <w:sz w:val="21"/>
          <w:szCs w:val="21"/>
        </w:rPr>
        <w:t>（</w:t>
      </w:r>
      <w:r w:rsidRPr="00BE595B">
        <w:rPr>
          <w:rFonts w:ascii="SimSun" w:hAnsi="SimSun"/>
          <w:iCs/>
          <w:sz w:val="21"/>
          <w:szCs w:val="21"/>
        </w:rPr>
        <w:t>iii</w:t>
      </w:r>
      <w:r w:rsidR="00535230" w:rsidRPr="00BE595B">
        <w:rPr>
          <w:rFonts w:ascii="SimSun" w:hAnsi="SimSun" w:hint="eastAsia"/>
          <w:iCs/>
          <w:sz w:val="21"/>
          <w:szCs w:val="21"/>
        </w:rPr>
        <w:t>）</w:t>
      </w:r>
      <w:r w:rsidRPr="00BE595B">
        <w:rPr>
          <w:rFonts w:ascii="SimSun" w:hAnsi="SimSun"/>
          <w:iCs/>
          <w:sz w:val="21"/>
          <w:szCs w:val="21"/>
        </w:rPr>
        <w:t>《名古屋议定书》下的获取和公平惠益分享、《TRIPS协定》在大流行期间解决医疗技术获取和自愿许可使用问题的灵活性；</w:t>
      </w:r>
      <w:r w:rsidR="00535230" w:rsidRPr="00BE595B">
        <w:rPr>
          <w:rFonts w:ascii="SimSun" w:hAnsi="SimSun" w:hint="eastAsia"/>
          <w:iCs/>
          <w:sz w:val="21"/>
          <w:szCs w:val="21"/>
        </w:rPr>
        <w:t>（</w:t>
      </w:r>
      <w:r w:rsidRPr="00BE595B">
        <w:rPr>
          <w:rFonts w:ascii="SimSun" w:hAnsi="SimSun"/>
          <w:iCs/>
          <w:sz w:val="21"/>
          <w:szCs w:val="21"/>
        </w:rPr>
        <w:t>iv</w:t>
      </w:r>
      <w:r w:rsidR="00535230" w:rsidRPr="00BE595B">
        <w:rPr>
          <w:rFonts w:ascii="SimSun" w:hAnsi="SimSun" w:hint="eastAsia"/>
          <w:iCs/>
          <w:sz w:val="21"/>
          <w:szCs w:val="21"/>
        </w:rPr>
        <w:t>）</w:t>
      </w:r>
      <w:r w:rsidRPr="00BE595B">
        <w:rPr>
          <w:rFonts w:ascii="SimSun" w:hAnsi="SimSun"/>
          <w:iCs/>
          <w:sz w:val="21"/>
          <w:szCs w:val="21"/>
        </w:rPr>
        <w:t>获取公共资助的研发活动的国际和国家实例。</w:t>
      </w:r>
    </w:p>
    <w:p w14:paraId="2D03C8DD"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iCs/>
          <w:sz w:val="21"/>
          <w:szCs w:val="21"/>
        </w:rPr>
        <w:t>此外，还举行了国际组织知识产权与卫生对话，为位于</w:t>
      </w:r>
      <w:r w:rsidRPr="00BE595B">
        <w:rPr>
          <w:rFonts w:ascii="SimSun" w:hAnsi="SimSun"/>
          <w:sz w:val="21"/>
          <w:szCs w:val="21"/>
        </w:rPr>
        <w:t>日内瓦的从事知识产权与卫生交叉领域工作的国际组织提供一个论坛，交流经验和挑战，并加强产权组织对创新获取倡议的支持。讨论的重点是公共资助机构的社会责任许可</w:t>
      </w:r>
      <w:r w:rsidRPr="001E4AB5">
        <w:rPr>
          <w:rFonts w:asciiTheme="minorEastAsia" w:eastAsiaTheme="minorEastAsia" w:hAnsiTheme="minorEastAsia"/>
          <w:sz w:val="21"/>
          <w:szCs w:val="21"/>
        </w:rPr>
        <w:t>（</w:t>
      </w:r>
      <w:r w:rsidRPr="00BE595B">
        <w:rPr>
          <w:rFonts w:ascii="SimSun" w:hAnsi="SimSun"/>
          <w:sz w:val="21"/>
          <w:szCs w:val="21"/>
        </w:rPr>
        <w:t>SRL</w:t>
      </w:r>
      <w:r w:rsidRPr="001E4AB5">
        <w:rPr>
          <w:rFonts w:asciiTheme="minorEastAsia" w:eastAsiaTheme="minorEastAsia" w:hAnsiTheme="minorEastAsia"/>
          <w:sz w:val="21"/>
          <w:szCs w:val="21"/>
        </w:rPr>
        <w:t>）</w:t>
      </w:r>
      <w:r w:rsidRPr="00BE595B">
        <w:rPr>
          <w:rFonts w:ascii="SimSun" w:hAnsi="SimSun"/>
          <w:sz w:val="21"/>
          <w:szCs w:val="21"/>
        </w:rPr>
        <w:t>和决策中的知识产权考虑因素。</w:t>
      </w:r>
    </w:p>
    <w:p w14:paraId="25F8B709" w14:textId="610D6B42"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产权组织委托药品专利池</w:t>
      </w:r>
      <w:r w:rsidRPr="001E4AB5">
        <w:rPr>
          <w:rFonts w:asciiTheme="minorEastAsia" w:eastAsiaTheme="minorEastAsia" w:hAnsiTheme="minorEastAsia"/>
          <w:sz w:val="21"/>
          <w:szCs w:val="21"/>
        </w:rPr>
        <w:t>（</w:t>
      </w:r>
      <w:r w:rsidRPr="00BE595B">
        <w:rPr>
          <w:rFonts w:ascii="SimSun" w:hAnsi="SimSun"/>
          <w:sz w:val="21"/>
          <w:szCs w:val="21"/>
        </w:rPr>
        <w:t>MPP</w:t>
      </w:r>
      <w:r w:rsidRPr="001E4AB5">
        <w:rPr>
          <w:rFonts w:asciiTheme="minorEastAsia" w:eastAsiaTheme="minorEastAsia" w:hAnsiTheme="minorEastAsia"/>
          <w:sz w:val="21"/>
          <w:szCs w:val="21"/>
        </w:rPr>
        <w:t>）</w:t>
      </w:r>
      <w:r w:rsidRPr="00BE595B">
        <w:rPr>
          <w:rFonts w:ascii="SimSun" w:hAnsi="SimSun"/>
          <w:sz w:val="21"/>
          <w:szCs w:val="21"/>
        </w:rPr>
        <w:t>开展了一项价值研究，围绕自愿许可对于中低收入国家制药公司扩大获取医疗技术的机会的价值进行商业案例研究。此外，还委托开展了一项关于药物、医疗设备和诊断之间根本区别以及知识产权的独特影响的内部研究，旨在提高人们对医疗技术之间差异的认识。产权组织于2023年11月出版了一份关于</w:t>
      </w:r>
      <w:hyperlink r:id="rId20" w:history="1">
        <w:r w:rsidRPr="00BE595B">
          <w:rPr>
            <w:rStyle w:val="Hyperlink"/>
            <w:rFonts w:ascii="SimSun" w:hAnsi="SimSun"/>
            <w:sz w:val="21"/>
            <w:szCs w:val="21"/>
          </w:rPr>
          <w:t>COVID-19疫苗知识产权和技术转让</w:t>
        </w:r>
      </w:hyperlink>
      <w:r w:rsidRPr="00BE595B">
        <w:rPr>
          <w:rFonts w:ascii="SimSun" w:hAnsi="SimSun"/>
          <w:sz w:val="21"/>
          <w:szCs w:val="21"/>
        </w:rPr>
        <w:t>的出版物，该出版物分析了全球十家疫苗制造商在COVID-19疫苗开发、生产和分销过程中采用的知识产权和技术转让办法。</w:t>
      </w:r>
      <w:r w:rsidRPr="00BE595B">
        <w:rPr>
          <w:rFonts w:ascii="SimSun" w:hAnsi="SimSun"/>
          <w:color w:val="000000" w:themeColor="text1"/>
          <w:sz w:val="21"/>
          <w:szCs w:val="21"/>
        </w:rPr>
        <w:t>2023年，产权组织继续与致力于改善公共卫生和创新体系的全球领先卫生专家举行</w:t>
      </w:r>
      <w:r w:rsidRPr="001E4AB5">
        <w:rPr>
          <w:rFonts w:asciiTheme="minorEastAsia" w:eastAsiaTheme="minorEastAsia" w:hAnsiTheme="minorEastAsia"/>
          <w:color w:val="000000" w:themeColor="text1"/>
          <w:sz w:val="21"/>
          <w:szCs w:val="21"/>
        </w:rPr>
        <w:t>“</w:t>
      </w:r>
      <w:r w:rsidRPr="00BE595B">
        <w:rPr>
          <w:rFonts w:ascii="SimSun" w:hAnsi="SimSun"/>
          <w:color w:val="000000" w:themeColor="text1"/>
          <w:sz w:val="21"/>
          <w:szCs w:val="21"/>
        </w:rPr>
        <w:t>使命想象</w:t>
      </w:r>
      <w:r w:rsidRPr="001E4AB5">
        <w:rPr>
          <w:rFonts w:asciiTheme="minorEastAsia" w:eastAsiaTheme="minorEastAsia" w:hAnsiTheme="minorEastAsia"/>
          <w:color w:val="000000" w:themeColor="text1"/>
          <w:sz w:val="21"/>
          <w:szCs w:val="21"/>
        </w:rPr>
        <w:t>”</w:t>
      </w:r>
      <w:r w:rsidRPr="00BE595B">
        <w:rPr>
          <w:rFonts w:ascii="SimSun" w:hAnsi="SimSun"/>
          <w:color w:val="000000" w:themeColor="text1"/>
          <w:sz w:val="21"/>
          <w:szCs w:val="21"/>
        </w:rPr>
        <w:t>系列访谈。</w:t>
      </w:r>
      <w:hyperlink r:id="rId21" w:history="1">
        <w:r w:rsidRPr="00BE595B">
          <w:rPr>
            <w:rStyle w:val="Hyperlink"/>
            <w:rFonts w:ascii="SimSun" w:hAnsi="SimSun"/>
            <w:sz w:val="21"/>
            <w:szCs w:val="21"/>
          </w:rPr>
          <w:t>第三集采访了帕特里克·蒂普先生</w:t>
        </w:r>
      </w:hyperlink>
      <w:r w:rsidRPr="00BE595B">
        <w:rPr>
          <w:rFonts w:ascii="SimSun" w:hAnsi="SimSun"/>
          <w:sz w:val="21"/>
          <w:szCs w:val="21"/>
        </w:rPr>
        <w:t>，他是南非Biovac首席科学与创新官、非洲疫苗制造倡议</w:t>
      </w:r>
      <w:r w:rsidRPr="001E4AB5">
        <w:rPr>
          <w:rFonts w:asciiTheme="minorEastAsia" w:eastAsiaTheme="minorEastAsia" w:hAnsiTheme="minorEastAsia"/>
          <w:sz w:val="21"/>
          <w:szCs w:val="21"/>
        </w:rPr>
        <w:t>（</w:t>
      </w:r>
      <w:r w:rsidRPr="00BE595B">
        <w:rPr>
          <w:rFonts w:ascii="SimSun" w:hAnsi="SimSun"/>
          <w:sz w:val="21"/>
          <w:szCs w:val="21"/>
        </w:rPr>
        <w:t>AVMI</w:t>
      </w:r>
      <w:r w:rsidRPr="001E4AB5">
        <w:rPr>
          <w:rFonts w:asciiTheme="minorEastAsia" w:eastAsiaTheme="minorEastAsia" w:hAnsiTheme="minorEastAsia"/>
          <w:sz w:val="21"/>
          <w:szCs w:val="21"/>
        </w:rPr>
        <w:t>）</w:t>
      </w:r>
      <w:r w:rsidRPr="00BE595B">
        <w:rPr>
          <w:rFonts w:ascii="SimSun" w:hAnsi="SimSun"/>
          <w:sz w:val="21"/>
          <w:szCs w:val="21"/>
        </w:rPr>
        <w:t>执行董事兼创始成员，在访谈中分享了他对建立可持续疫苗制造生态系统的见解。</w:t>
      </w:r>
    </w:p>
    <w:p w14:paraId="7F8803DF" w14:textId="152C7BCF"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传统知识</w:t>
      </w:r>
      <w:r w:rsidRPr="00BE595B">
        <w:rPr>
          <w:rFonts w:ascii="SimSun" w:hAnsi="SimSun"/>
          <w:sz w:val="21"/>
          <w:szCs w:val="21"/>
        </w:rPr>
        <w:t>领域，产权组织知识产权与传统医药知识培训、指导和牵线搭桥计划</w:t>
      </w:r>
      <w:r w:rsidRPr="001E4AB5">
        <w:rPr>
          <w:rFonts w:asciiTheme="minorEastAsia" w:eastAsiaTheme="minorEastAsia" w:hAnsiTheme="minorEastAsia"/>
          <w:sz w:val="21"/>
          <w:szCs w:val="21"/>
        </w:rPr>
        <w:t>（</w:t>
      </w:r>
      <w:r w:rsidRPr="00BE595B">
        <w:rPr>
          <w:rFonts w:ascii="SimSun" w:hAnsi="SimSun"/>
          <w:sz w:val="21"/>
          <w:szCs w:val="21"/>
        </w:rPr>
        <w:t>TMK计划</w:t>
      </w:r>
      <w:r w:rsidRPr="001E4AB5">
        <w:rPr>
          <w:rFonts w:asciiTheme="minorEastAsia" w:eastAsiaTheme="minorEastAsia" w:hAnsiTheme="minorEastAsia"/>
          <w:sz w:val="21"/>
          <w:szCs w:val="21"/>
        </w:rPr>
        <w:t>）</w:t>
      </w:r>
      <w:r w:rsidRPr="00BE595B">
        <w:rPr>
          <w:rFonts w:ascii="SimSun" w:hAnsi="SimSun"/>
          <w:sz w:val="21"/>
          <w:szCs w:val="21"/>
        </w:rPr>
        <w:t>于2023年9月在12个非洲国家启动，并举办了知识产权和传统医学知识综合实践讲习班。来自这12个非洲国家的传统医学从业人员和当地社区参加了培训，学习使用知识产权工具保护基于传统医学知识的创新和产品。TMK计划支持主要影响发展中国家和最不发达国家的药物研发，并大力加强这些国家卫生工作者的发展和培训。通过提高传统医生、研究机构和其他利益攸关方的能力，TMK计划为经济增长和减少不平等做出了贡献，从而促进实现具体目标3.b、3.c、8.3和10.2。</w:t>
      </w:r>
    </w:p>
    <w:p w14:paraId="2742B04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w:t>
      </w:r>
      <w:r w:rsidRPr="00BE595B">
        <w:rPr>
          <w:rFonts w:ascii="SimSun" w:hAnsi="SimSun"/>
          <w:b/>
          <w:sz w:val="21"/>
          <w:szCs w:val="21"/>
        </w:rPr>
        <w:t>仲裁与调解中心</w:t>
      </w:r>
      <w:r w:rsidRPr="00BE595B">
        <w:rPr>
          <w:rFonts w:ascii="SimSun" w:hAnsi="SimSun"/>
          <w:sz w:val="21"/>
          <w:szCs w:val="21"/>
        </w:rPr>
        <w:t>继续提供争议解决建议和案件管理服务，为当事人之间的合同谈判提供便利，并帮助他们解决生命科学领域的争议，从而促进实现具体目标3.3。作为产权组织COVID-19相关服务和支持的一部分，2023年，</w:t>
      </w:r>
      <w:r w:rsidR="00B022AC" w:rsidRPr="00BE595B">
        <w:rPr>
          <w:rFonts w:ascii="SimSun" w:hAnsi="SimSun" w:hint="eastAsia"/>
          <w:sz w:val="21"/>
          <w:szCs w:val="21"/>
        </w:rPr>
        <w:t>该</w:t>
      </w:r>
      <w:r w:rsidR="00033474" w:rsidRPr="00BE595B">
        <w:rPr>
          <w:rFonts w:ascii="SimSun" w:hAnsi="SimSun" w:hint="eastAsia"/>
          <w:sz w:val="21"/>
          <w:szCs w:val="21"/>
        </w:rPr>
        <w:t>中心</w:t>
      </w:r>
      <w:r w:rsidRPr="00BE595B">
        <w:rPr>
          <w:rFonts w:ascii="SimSun" w:hAnsi="SimSun"/>
          <w:sz w:val="21"/>
          <w:szCs w:val="21"/>
        </w:rPr>
        <w:t>为包括非洲和亚洲在内的生命科学利益攸关方举办了一系列量身定制的替代性争议解决</w:t>
      </w:r>
      <w:r w:rsidRPr="001E4AB5">
        <w:rPr>
          <w:rFonts w:asciiTheme="minorEastAsia" w:eastAsiaTheme="minorEastAsia" w:hAnsiTheme="minorEastAsia"/>
          <w:sz w:val="21"/>
          <w:szCs w:val="21"/>
        </w:rPr>
        <w:t>（</w:t>
      </w:r>
      <w:r w:rsidRPr="00BE595B">
        <w:rPr>
          <w:rFonts w:ascii="SimSun" w:hAnsi="SimSun"/>
          <w:sz w:val="21"/>
          <w:szCs w:val="21"/>
        </w:rPr>
        <w:t>ADR</w:t>
      </w:r>
      <w:r w:rsidRPr="001E4AB5">
        <w:rPr>
          <w:rFonts w:asciiTheme="minorEastAsia" w:eastAsiaTheme="minorEastAsia" w:hAnsiTheme="minorEastAsia"/>
          <w:sz w:val="21"/>
          <w:szCs w:val="21"/>
        </w:rPr>
        <w:t>）</w:t>
      </w:r>
      <w:r w:rsidRPr="00BE595B">
        <w:rPr>
          <w:rFonts w:ascii="SimSun" w:hAnsi="SimSun"/>
          <w:sz w:val="21"/>
          <w:szCs w:val="21"/>
        </w:rPr>
        <w:t>活动。</w:t>
      </w:r>
    </w:p>
    <w:p w14:paraId="0E21DAAE" w14:textId="7332159A" w:rsidR="002A674D" w:rsidRPr="00613487"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613487">
        <w:rPr>
          <w:rFonts w:ascii="SimSun" w:hAnsi="SimSun"/>
          <w:sz w:val="21"/>
          <w:szCs w:val="21"/>
        </w:rPr>
        <w:t>在</w:t>
      </w:r>
      <w:r w:rsidRPr="00613487">
        <w:rPr>
          <w:rFonts w:ascii="SimSun" w:hAnsi="SimSun"/>
          <w:b/>
          <w:bCs/>
          <w:sz w:val="21"/>
          <w:szCs w:val="21"/>
        </w:rPr>
        <w:t>合作促进发展领域</w:t>
      </w:r>
      <w:r w:rsidRPr="00613487">
        <w:rPr>
          <w:rFonts w:ascii="SimSun" w:hAnsi="SimSun"/>
          <w:sz w:val="21"/>
          <w:szCs w:val="21"/>
        </w:rPr>
        <w:t>，产权</w:t>
      </w:r>
      <w:r w:rsidRPr="00613487">
        <w:rPr>
          <w:rFonts w:ascii="SimSun" w:hAnsi="SimSun" w:hint="eastAsia"/>
          <w:sz w:val="21"/>
          <w:szCs w:val="21"/>
        </w:rPr>
        <w:t>组织与越南一家生产草药医疗产品的中小型企业</w:t>
      </w:r>
      <w:hyperlink r:id="rId22" w:history="1">
        <w:r w:rsidRPr="00613487">
          <w:rPr>
            <w:rStyle w:val="Hyperlink"/>
            <w:rFonts w:ascii="SimSun" w:hAnsi="SimSun"/>
            <w:sz w:val="21"/>
            <w:szCs w:val="21"/>
          </w:rPr>
          <w:t>Khanh Thien Pharmaceuticals</w:t>
        </w:r>
      </w:hyperlink>
      <w:r w:rsidRPr="00613487">
        <w:rPr>
          <w:rFonts w:ascii="SimSun" w:hAnsi="SimSun"/>
          <w:sz w:val="21"/>
          <w:szCs w:val="21"/>
        </w:rPr>
        <w:t>合作，旨在改善公众卫生，解决从头痛到呼吸系统问题的各种健康问题。产权组织协助制定扩大市场的品牌推广战略，促进实现具体目标3.8和8.1。同样值得注意的是，根据CDIP的决定，将于2025年组织的知识产权与发展国际会议的分主题应为“知识产权和创新在应对全球公共卫生挑战中的作用：促进技术转让与协作”。</w:t>
      </w:r>
    </w:p>
    <w:p w14:paraId="2338C456"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可持续发展目标4：确保包容和公平的优质教育，让全民终身享有学习机会</w:t>
      </w:r>
    </w:p>
    <w:p w14:paraId="0DCC91B3" w14:textId="326D7106"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b/>
          <w:sz w:val="21"/>
          <w:szCs w:val="21"/>
        </w:rPr>
        <w:t>WIPO学院</w:t>
      </w:r>
      <w:r w:rsidRPr="00BE595B">
        <w:rPr>
          <w:rFonts w:ascii="SimSun" w:hAnsi="SimSun"/>
          <w:sz w:val="21"/>
          <w:szCs w:val="21"/>
        </w:rPr>
        <w:t>通过提供包容性的知识产权教育机会，领导产权组织对具体目标4.3和4.5作出贡献。在过去五年</w:t>
      </w:r>
      <w:r w:rsidRPr="001E4AB5">
        <w:rPr>
          <w:rFonts w:asciiTheme="minorEastAsia" w:eastAsiaTheme="minorEastAsia" w:hAnsiTheme="minorEastAsia"/>
          <w:sz w:val="21"/>
          <w:szCs w:val="21"/>
        </w:rPr>
        <w:t>（</w:t>
      </w:r>
      <w:r w:rsidRPr="00BE595B">
        <w:rPr>
          <w:rFonts w:ascii="SimSun" w:hAnsi="SimSun"/>
          <w:sz w:val="21"/>
          <w:szCs w:val="21"/>
        </w:rPr>
        <w:t>2019-2023年</w:t>
      </w:r>
      <w:r w:rsidRPr="001E4AB5">
        <w:rPr>
          <w:rFonts w:asciiTheme="minorEastAsia" w:eastAsiaTheme="minorEastAsia" w:hAnsiTheme="minorEastAsia"/>
          <w:sz w:val="21"/>
          <w:szCs w:val="21"/>
        </w:rPr>
        <w:t>）</w:t>
      </w:r>
      <w:r w:rsidRPr="00BE595B">
        <w:rPr>
          <w:rFonts w:ascii="SimSun" w:hAnsi="SimSun"/>
          <w:sz w:val="21"/>
          <w:szCs w:val="21"/>
        </w:rPr>
        <w:t>中，WIPO学院确保了参与者之间的性别平等，女性参与者占50.6%。共有310,019名妇女接受了17种语言的知识产权培训。联合硕士学位项目和远程学习课程的奖学金根据性别、区域和语言按比例发放。在国际妇女节</w:t>
      </w:r>
      <w:r w:rsidRPr="001E4AB5">
        <w:rPr>
          <w:rFonts w:asciiTheme="minorEastAsia" w:eastAsiaTheme="minorEastAsia" w:hAnsiTheme="minorEastAsia"/>
          <w:sz w:val="21"/>
          <w:szCs w:val="21"/>
        </w:rPr>
        <w:t>（</w:t>
      </w:r>
      <w:r w:rsidRPr="00BE595B">
        <w:rPr>
          <w:rFonts w:ascii="SimSun" w:hAnsi="SimSun"/>
          <w:sz w:val="21"/>
          <w:szCs w:val="21"/>
        </w:rPr>
        <w:t>2023年3月8日</w:t>
      </w:r>
      <w:r w:rsidRPr="001E4AB5">
        <w:rPr>
          <w:rFonts w:asciiTheme="minorEastAsia" w:eastAsiaTheme="minorEastAsia" w:hAnsiTheme="minorEastAsia"/>
          <w:sz w:val="21"/>
          <w:szCs w:val="21"/>
        </w:rPr>
        <w:t>）</w:t>
      </w:r>
      <w:r w:rsidRPr="00BE595B">
        <w:rPr>
          <w:rFonts w:ascii="SimSun" w:hAnsi="SimSun"/>
          <w:sz w:val="21"/>
          <w:szCs w:val="21"/>
        </w:rPr>
        <w:t>，WIPO学院向来自发展中国家、最不发达国家和转型国家的妇女提供了50个奖学金名额，让她们参加高级远程学习课程。</w:t>
      </w:r>
    </w:p>
    <w:p w14:paraId="604761D6"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ui-provider"/>
          <w:rFonts w:ascii="SimSun" w:hAnsi="SimSun"/>
          <w:sz w:val="21"/>
          <w:szCs w:val="21"/>
        </w:rPr>
      </w:pPr>
      <w:r w:rsidRPr="00BE595B">
        <w:rPr>
          <w:rFonts w:ascii="SimSun" w:hAnsi="SimSun"/>
          <w:sz w:val="21"/>
          <w:szCs w:val="21"/>
        </w:rPr>
        <w:t>2023年，230名学生从八个联合硕士学位项目毕业，其中53%为女性，47%为男性。知识产权培训机构</w:t>
      </w:r>
      <w:r w:rsidRPr="001E4AB5">
        <w:rPr>
          <w:rFonts w:asciiTheme="minorEastAsia" w:eastAsiaTheme="minorEastAsia" w:hAnsiTheme="minorEastAsia"/>
          <w:sz w:val="21"/>
          <w:szCs w:val="21"/>
        </w:rPr>
        <w:t>（</w:t>
      </w:r>
      <w:r w:rsidRPr="00BE595B">
        <w:rPr>
          <w:rFonts w:ascii="SimSun" w:hAnsi="SimSun"/>
          <w:sz w:val="21"/>
          <w:szCs w:val="21"/>
        </w:rPr>
        <w:t>IPTI</w:t>
      </w:r>
      <w:r w:rsidRPr="001E4AB5">
        <w:rPr>
          <w:rFonts w:asciiTheme="minorEastAsia" w:eastAsiaTheme="minorEastAsia" w:hAnsiTheme="minorEastAsia"/>
          <w:sz w:val="21"/>
          <w:szCs w:val="21"/>
        </w:rPr>
        <w:t>）</w:t>
      </w:r>
      <w:r w:rsidRPr="00BE595B">
        <w:rPr>
          <w:rFonts w:ascii="SimSun" w:hAnsi="SimSun"/>
          <w:sz w:val="21"/>
          <w:szCs w:val="21"/>
        </w:rPr>
        <w:t>计划也实现了类似的性别平等率，其中女性和男性的参与率分别为52%和48%。此外，合作伙伴IPTI历来报告称，参加其培训的女性占53%，男性占47%。IPTI计划还实施了四个专门针对妇女的能力建设项目：i</w:t>
      </w:r>
      <w:r w:rsidR="00535230" w:rsidRPr="00BE595B">
        <w:rPr>
          <w:rFonts w:ascii="SimSun" w:hAnsi="SimSun" w:hint="eastAsia"/>
          <w:sz w:val="21"/>
          <w:szCs w:val="21"/>
        </w:rPr>
        <w:t>）</w:t>
      </w:r>
      <w:r w:rsidRPr="00BE595B">
        <w:rPr>
          <w:rFonts w:ascii="SimSun" w:hAnsi="SimSun"/>
          <w:sz w:val="21"/>
          <w:szCs w:val="21"/>
        </w:rPr>
        <w:t>多米尼加共和国女性企业家和创新者能力建设计划；ii</w:t>
      </w:r>
      <w:r w:rsidR="00535230" w:rsidRPr="00BE595B">
        <w:rPr>
          <w:rFonts w:ascii="SimSun" w:hAnsi="SimSun" w:hint="eastAsia"/>
          <w:sz w:val="21"/>
          <w:szCs w:val="21"/>
        </w:rPr>
        <w:t>）</w:t>
      </w:r>
      <w:r w:rsidRPr="00BE595B">
        <w:rPr>
          <w:rFonts w:ascii="SimSun" w:hAnsi="SimSun"/>
          <w:sz w:val="21"/>
          <w:szCs w:val="21"/>
        </w:rPr>
        <w:t>埃及女性研究人员知识产权；iii</w:t>
      </w:r>
      <w:r w:rsidR="00535230" w:rsidRPr="00BE595B">
        <w:rPr>
          <w:rFonts w:ascii="SimSun" w:hAnsi="SimSun" w:hint="eastAsia"/>
          <w:sz w:val="21"/>
          <w:szCs w:val="21"/>
        </w:rPr>
        <w:t>）</w:t>
      </w:r>
      <w:r w:rsidRPr="00BE595B">
        <w:rPr>
          <w:rFonts w:ascii="SimSun" w:hAnsi="SimSun"/>
          <w:sz w:val="21"/>
          <w:szCs w:val="21"/>
        </w:rPr>
        <w:t>知识产权作为萨尔瓦多妇女的杠杆工具；iv</w:t>
      </w:r>
      <w:r w:rsidR="00535230" w:rsidRPr="00BE595B">
        <w:rPr>
          <w:rFonts w:ascii="SimSun" w:hAnsi="SimSun" w:hint="eastAsia"/>
          <w:sz w:val="21"/>
          <w:szCs w:val="21"/>
        </w:rPr>
        <w:t>）</w:t>
      </w:r>
      <w:r w:rsidRPr="00BE595B">
        <w:rPr>
          <w:rFonts w:ascii="SimSun" w:hAnsi="SimSun"/>
          <w:sz w:val="21"/>
          <w:szCs w:val="21"/>
        </w:rPr>
        <w:t>乌克兰妇女视觉艺术知识产权能力建设项目。</w:t>
      </w:r>
    </w:p>
    <w:p w14:paraId="53E9B528"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还组织了若干大学伙伴关系活动，促进实现具体目标4.3：</w:t>
      </w:r>
    </w:p>
    <w:p w14:paraId="34C7A753"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第十九届产权组织-世贸组织知识产权教师座谈会于2023年11月13日至24日举行，有27名知识产权教师参加。</w:t>
      </w:r>
    </w:p>
    <w:p w14:paraId="20F86BF8"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第二届拉丁美洲知识产权与创新</w:t>
      </w:r>
      <w:r w:rsidRPr="001E4AB5">
        <w:rPr>
          <w:rFonts w:asciiTheme="minorEastAsia" w:eastAsiaTheme="minorEastAsia" w:hAnsiTheme="minorEastAsia"/>
          <w:sz w:val="21"/>
          <w:szCs w:val="21"/>
        </w:rPr>
        <w:t>（</w:t>
      </w:r>
      <w:r w:rsidRPr="00BE595B">
        <w:rPr>
          <w:rFonts w:ascii="SimSun" w:hAnsi="SimSun"/>
          <w:sz w:val="21"/>
          <w:szCs w:val="21"/>
        </w:rPr>
        <w:t>IPILA</w:t>
      </w:r>
      <w:r w:rsidRPr="001E4AB5">
        <w:rPr>
          <w:rFonts w:asciiTheme="minorEastAsia" w:eastAsiaTheme="minorEastAsia" w:hAnsiTheme="minorEastAsia"/>
          <w:sz w:val="21"/>
          <w:szCs w:val="21"/>
        </w:rPr>
        <w:t>）</w:t>
      </w:r>
      <w:r w:rsidRPr="00BE595B">
        <w:rPr>
          <w:rFonts w:ascii="SimSun" w:hAnsi="SimSun"/>
          <w:sz w:val="21"/>
          <w:szCs w:val="21"/>
        </w:rPr>
        <w:t>会议于2023年10月26日至27日以混合模式举行，有100名与会者参加。</w:t>
      </w:r>
    </w:p>
    <w:p w14:paraId="056058F4"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第五届亚洲知识产权与创新研究人员</w:t>
      </w:r>
      <w:r w:rsidRPr="001E4AB5">
        <w:rPr>
          <w:rFonts w:asciiTheme="minorEastAsia" w:eastAsiaTheme="minorEastAsia" w:hAnsiTheme="minorEastAsia"/>
          <w:sz w:val="21"/>
          <w:szCs w:val="21"/>
        </w:rPr>
        <w:t>（</w:t>
      </w:r>
      <w:r w:rsidRPr="00BE595B">
        <w:rPr>
          <w:rFonts w:ascii="SimSun" w:hAnsi="SimSun"/>
          <w:sz w:val="21"/>
          <w:szCs w:val="21"/>
        </w:rPr>
        <w:t>IPIRA</w:t>
      </w:r>
      <w:r w:rsidRPr="001E4AB5">
        <w:rPr>
          <w:rFonts w:asciiTheme="minorEastAsia" w:eastAsiaTheme="minorEastAsia" w:hAnsiTheme="minorEastAsia"/>
          <w:sz w:val="21"/>
          <w:szCs w:val="21"/>
        </w:rPr>
        <w:t>）</w:t>
      </w:r>
      <w:r w:rsidRPr="00BE595B">
        <w:rPr>
          <w:rFonts w:ascii="SimSun" w:hAnsi="SimSun"/>
          <w:sz w:val="21"/>
          <w:szCs w:val="21"/>
        </w:rPr>
        <w:t>会议于2023年3月1日至3日在新加坡举行，</w:t>
      </w:r>
      <w:r w:rsidR="00563AC7" w:rsidRPr="00BE595B">
        <w:rPr>
          <w:rFonts w:ascii="SimSun" w:hAnsi="SimSun" w:hint="eastAsia"/>
          <w:sz w:val="21"/>
          <w:szCs w:val="21"/>
        </w:rPr>
        <w:t>并</w:t>
      </w:r>
      <w:r w:rsidRPr="00BE595B">
        <w:rPr>
          <w:rFonts w:ascii="SimSun" w:hAnsi="SimSun"/>
          <w:sz w:val="21"/>
          <w:szCs w:val="21"/>
        </w:rPr>
        <w:t>有249名与会者参加。</w:t>
      </w:r>
    </w:p>
    <w:p w14:paraId="4B843567"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其他大学伙伴关系活动包括：在印度尼西亚大学和巴查查兰大学为1,226名学生举办的产权组织研讨会；在哈马德·本·哈利法大学为36名学生举办的产权组织研讨会；产权</w:t>
      </w:r>
      <w:r w:rsidRPr="00BE595B">
        <w:rPr>
          <w:rStyle w:val="ui-provider"/>
          <w:rFonts w:ascii="SimSun" w:hAnsi="SimSun"/>
          <w:sz w:val="21"/>
          <w:szCs w:val="21"/>
        </w:rPr>
        <w:t>组织-欧洲法律学生协会英国网络研讨会系列，六次会议共有93人参加；在津巴布韦为79名与会者举办了人工智能</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AI</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和商业新技术趋势区域讲习班；与欧盟知识产权局为500名与会者举办了在线知识产权强化培训项目；在阿</w:t>
      </w:r>
      <w:r w:rsidRPr="00BE595B">
        <w:rPr>
          <w:rFonts w:ascii="SimSun" w:hAnsi="SimSun"/>
          <w:sz w:val="21"/>
          <w:szCs w:val="21"/>
        </w:rPr>
        <w:t>利坎特大学和西印度群岛大学法学硕士课程中举办了各种知识产权讲座。</w:t>
      </w:r>
    </w:p>
    <w:p w14:paraId="15E8B142"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ui-provider"/>
          <w:rFonts w:ascii="SimSun" w:hAnsi="SimSun"/>
          <w:sz w:val="21"/>
          <w:szCs w:val="21"/>
        </w:rPr>
      </w:pPr>
      <w:r w:rsidRPr="00BE595B">
        <w:rPr>
          <w:rStyle w:val="ui-provider"/>
          <w:rFonts w:ascii="SimSun" w:hAnsi="SimSun"/>
          <w:sz w:val="21"/>
          <w:szCs w:val="21"/>
        </w:rPr>
        <w:t>WIPO学院继续在各地区发展新的联合硕士学位项目，以促进各地的优质教育，促进实现具体目标4.7。最近的联合硕士学位项目专门研究特定领域，例如：西班牙大学国际教育学院的知识产权与技术法法学硕士项目；新加坡社科大学</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SUSS</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知识产权与创新管理硕士项目；乌姆库拉大学知识产权、创业与创新硕士项目；穆罕默德六世理工大学</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UM6P</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知识产权与创新硕士项目；德里国立法律大学</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NLUD</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的知识产权与管理法学硕士项目；索菲亚大学知识产权与技术转让硕士项目；尼兹瓦知识产权大学工商管理硕士项目；清华大学知识产权与创新政策硕士项目。</w:t>
      </w:r>
    </w:p>
    <w:p w14:paraId="5B9876BD"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ui-provider"/>
          <w:rFonts w:ascii="SimSun" w:hAnsi="SimSun"/>
          <w:sz w:val="21"/>
          <w:szCs w:val="21"/>
        </w:rPr>
      </w:pPr>
      <w:r w:rsidRPr="00BE595B">
        <w:rPr>
          <w:rStyle w:val="ui-provider"/>
          <w:rFonts w:ascii="SimSun" w:hAnsi="SimSun"/>
          <w:sz w:val="21"/>
          <w:szCs w:val="21"/>
        </w:rPr>
        <w:t>为促进实现具体目标4.7，远程学习课程为用户、管理人员和知识产权生态系统的其他利益攸关方提供了全球可获得且负担得起的知识产权培训，这些利益攸关方包括政府和知识产权局、技术转让办公室、集体管理组织、外交官、法官、律师、知识产权从业人员和教师。这些课程旨在灌输创新和创造文化，并强调知识产权作为可持续发展工具的作用。</w:t>
      </w:r>
    </w:p>
    <w:p w14:paraId="1E15ACA2"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ui-provider"/>
          <w:rFonts w:ascii="SimSun" w:hAnsi="SimSun"/>
          <w:sz w:val="21"/>
          <w:szCs w:val="21"/>
        </w:rPr>
      </w:pPr>
      <w:r w:rsidRPr="00BE595B">
        <w:rPr>
          <w:rStyle w:val="ui-provider"/>
          <w:rFonts w:ascii="SimSun" w:hAnsi="SimSun"/>
          <w:sz w:val="21"/>
          <w:szCs w:val="21"/>
        </w:rPr>
        <w:t>2023年，WIPO学院继续以所有六种联合国语文和葡萄牙文提供无障碍版本的知识产权普通课程</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DL-101</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，以及与无障碍图书联合会</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ABC</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合作开发的关于无障碍图书制作课和出版概念课的另外三门课程。这些课程旨在为残障人士提供更多的知识产权培训和教育机会，并且符合《马拉喀什条约》。</w:t>
      </w:r>
    </w:p>
    <w:p w14:paraId="6A9B3B0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ui-provider"/>
          <w:rFonts w:ascii="SimSun" w:hAnsi="SimSun"/>
          <w:sz w:val="21"/>
          <w:szCs w:val="21"/>
        </w:rPr>
      </w:pPr>
      <w:r w:rsidRPr="00BE595B">
        <w:rPr>
          <w:rStyle w:val="ui-provider"/>
          <w:rFonts w:ascii="SimSun" w:hAnsi="SimSun"/>
          <w:sz w:val="21"/>
          <w:szCs w:val="21"/>
        </w:rPr>
        <w:t>无障碍培训门户网站以英语、阿拉伯语、西班牙语、法语、葡萄牙语和俄语提供了15门在线课程和混合课程，促进实现具体目标4.5。该门户网站是确保视力障碍或印刷品阅读障碍学生平等接受各级教育的一个里程碑。2023年，253名参与者使用该门户网站学习知识产权课程。</w:t>
      </w:r>
    </w:p>
    <w:p w14:paraId="71BCDD34" w14:textId="2B95AF0D"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ui-provider"/>
          <w:rFonts w:ascii="SimSun" w:hAnsi="SimSun"/>
          <w:sz w:val="21"/>
          <w:szCs w:val="21"/>
        </w:rPr>
      </w:pPr>
      <w:r w:rsidRPr="00BE595B">
        <w:rPr>
          <w:rStyle w:val="ui-provider"/>
          <w:rFonts w:ascii="SimSun" w:hAnsi="SimSun"/>
          <w:sz w:val="21"/>
          <w:szCs w:val="21"/>
        </w:rPr>
        <w:t>WIPO学院还为全球知识产权制度的专业用户和利益攸关方提供基于能力的认证计划，以开展实用的技能提升和职业发展培训：i</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国际专利撰写培训计划</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针对专利专业人员</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；ii</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技术与创新支持中心</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TISC</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工作人员认证计划</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针对技术转让办公室、大学、研究中心</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；iii</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知识产权资产管理高级国际证书课程</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针对知识产权管理人员</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；iv</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WIPO Connect培训</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针对集体管理组织工作人员</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。这些计划促进实现具体目标4.4。</w:t>
      </w:r>
    </w:p>
    <w:p w14:paraId="23BA7681"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ui-provider"/>
          <w:rFonts w:ascii="SimSun" w:hAnsi="SimSun"/>
          <w:sz w:val="21"/>
          <w:szCs w:val="21"/>
        </w:rPr>
      </w:pPr>
      <w:r w:rsidRPr="00BE595B">
        <w:rPr>
          <w:rStyle w:val="ui-provider"/>
          <w:rFonts w:ascii="SimSun" w:hAnsi="SimSun"/>
          <w:sz w:val="21"/>
          <w:szCs w:val="21"/>
        </w:rPr>
        <w:t>2023年，WIPO学院还支持知识产权培训机构设计和实施了29个联合项目，使希望了解其知识产权对于企业利益的价值的企业家和创作者受益，从而使他们有能力将自己的才能和想法转化为创新、创意产品和服务，创造就业机会，刺激增长，提升人民和社区的生活。这也促进实现具体目标4.4。</w:t>
      </w:r>
    </w:p>
    <w:p w14:paraId="7A96451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ui-provider"/>
          <w:rFonts w:ascii="SimSun" w:hAnsi="SimSun"/>
          <w:sz w:val="21"/>
          <w:szCs w:val="21"/>
        </w:rPr>
      </w:pPr>
      <w:r w:rsidRPr="00BE595B">
        <w:rPr>
          <w:rStyle w:val="ui-provider"/>
          <w:rFonts w:ascii="SimSun" w:hAnsi="SimSun"/>
          <w:sz w:val="21"/>
          <w:szCs w:val="21"/>
        </w:rPr>
        <w:t>为支持实现具体目标4.c，WIPO学院帮助发展中国家和最不发达国家创建自己的、可自我维持的国家和区域知识产权培训机构，以满足符合国家发展目标的当地培训需求。2023年，五个新的知识产权培训机构成立，分别位于东南亚国家联盟</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东盟</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、埃塞俄比亚和乌克兰，另外两个在土耳其。来自30个国家的650多名知识产权专家接受了教学和实质性技术技能方面的培训，以担任这些知识产权培训机构的培训员。</w:t>
      </w:r>
    </w:p>
    <w:p w14:paraId="64326C26"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ui-provider"/>
          <w:rFonts w:ascii="SimSun" w:hAnsi="SimSun"/>
          <w:sz w:val="21"/>
          <w:szCs w:val="21"/>
        </w:rPr>
      </w:pPr>
      <w:r w:rsidRPr="00BE595B">
        <w:rPr>
          <w:rStyle w:val="ui-provider"/>
          <w:rFonts w:ascii="SimSun" w:hAnsi="SimSun"/>
          <w:sz w:val="21"/>
          <w:szCs w:val="21"/>
        </w:rPr>
        <w:t>促进实现具体目标4.c的其他活动有：</w:t>
      </w:r>
    </w:p>
    <w:p w14:paraId="2B7D8F1D"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Style w:val="ui-provider"/>
          <w:rFonts w:ascii="SimSun" w:hAnsi="SimSun"/>
          <w:sz w:val="21"/>
          <w:szCs w:val="21"/>
        </w:rPr>
      </w:pPr>
      <w:r w:rsidRPr="00BE595B">
        <w:rPr>
          <w:rStyle w:val="ui-provider"/>
          <w:rFonts w:ascii="SimSun" w:hAnsi="SimSun"/>
          <w:sz w:val="21"/>
          <w:szCs w:val="21"/>
        </w:rPr>
        <w:t>2023年10月，远程学习计划与埃及国家知识产权学院合作，为阿曼国家知识产权局的15名专家举办了一次关于</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指导和管理WIPO学院远程学习课程</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的培训员培训项目。</w:t>
      </w:r>
    </w:p>
    <w:p w14:paraId="058A3596" w14:textId="28693E38"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Style w:val="ui-provider"/>
          <w:rFonts w:ascii="SimSun" w:hAnsi="SimSun"/>
          <w:sz w:val="21"/>
          <w:szCs w:val="21"/>
        </w:rPr>
      </w:pPr>
      <w:r w:rsidRPr="00BE595B">
        <w:rPr>
          <w:rStyle w:val="ui-provider"/>
          <w:rFonts w:ascii="SimSun" w:hAnsi="SimSun"/>
          <w:sz w:val="21"/>
          <w:szCs w:val="21"/>
        </w:rPr>
        <w:t>WIPO学院与罗马尼亚版权局及国家发明和商标局合作，于2023年10月至11月为来自罗马尼亚各地的59名中学教师</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17男42女</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组织了一次关于</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教师知识产权</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的全国研讨会。研讨会围绕知识产权教学方法，将知识产权教育纳入学校课程，并制定个性化的教学计划。</w:t>
      </w:r>
    </w:p>
    <w:p w14:paraId="1F121D56"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Style w:val="ui-provider"/>
          <w:rFonts w:ascii="SimSun" w:hAnsi="SimSun"/>
          <w:sz w:val="21"/>
          <w:szCs w:val="21"/>
        </w:rPr>
      </w:pPr>
      <w:r w:rsidRPr="00BE595B">
        <w:rPr>
          <w:rStyle w:val="ui-provider"/>
          <w:rFonts w:ascii="SimSun" w:hAnsi="SimSun"/>
          <w:sz w:val="21"/>
          <w:szCs w:val="21"/>
        </w:rPr>
        <w:t>WIPO学院与韩国知识产权局和阿尔巴尼亚知识产权总局合作，于2023年11月在阿尔巴尼亚组织了一次关于</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知识产权影响力证书</w:t>
      </w:r>
      <w:r w:rsidRPr="001E4AB5">
        <w:rPr>
          <w:rStyle w:val="ui-provider"/>
          <w:rFonts w:asciiTheme="minorEastAsia" w:eastAsiaTheme="minorEastAsia" w:hAnsiTheme="minorEastAsia"/>
          <w:sz w:val="21"/>
          <w:szCs w:val="21"/>
        </w:rPr>
        <w:t>”</w:t>
      </w:r>
      <w:r w:rsidRPr="00BE595B">
        <w:rPr>
          <w:rStyle w:val="ui-provider"/>
          <w:rFonts w:ascii="SimSun" w:hAnsi="SimSun"/>
          <w:sz w:val="21"/>
          <w:szCs w:val="21"/>
        </w:rPr>
        <w:t>的全国研讨会。研讨会旨在提高来自阿尔巴尼亚各地的35名中小学教师的能力，利用创造性的问题解决办法将知识产权教育纳入学校课程。</w:t>
      </w:r>
    </w:p>
    <w:p w14:paraId="2770A67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Style w:val="ui-provider"/>
          <w:rFonts w:ascii="SimSun" w:hAnsi="SimSun"/>
          <w:sz w:val="21"/>
          <w:szCs w:val="21"/>
        </w:rPr>
      </w:pPr>
      <w:r w:rsidRPr="00BE595B">
        <w:rPr>
          <w:rStyle w:val="ui-provider"/>
          <w:rFonts w:ascii="SimSun" w:hAnsi="SimSun"/>
          <w:sz w:val="21"/>
          <w:szCs w:val="21"/>
        </w:rPr>
        <w:t>2023年，WIPO学院以20种语言提供的580门混合和在线课程使产权组织193个成员国共108,292名参与者受益。</w:t>
      </w:r>
      <w:r w:rsidR="00642A77" w:rsidRPr="00BE595B">
        <w:rPr>
          <w:rStyle w:val="ui-provider"/>
          <w:rFonts w:ascii="SimSun" w:hAnsi="SimSun" w:hint="eastAsia"/>
          <w:sz w:val="21"/>
          <w:szCs w:val="21"/>
        </w:rPr>
        <w:t>这些</w:t>
      </w:r>
      <w:r w:rsidR="00642A77" w:rsidRPr="00BE595B">
        <w:rPr>
          <w:rStyle w:val="ui-provider"/>
          <w:rFonts w:ascii="SimSun" w:hAnsi="SimSun"/>
          <w:sz w:val="21"/>
          <w:szCs w:val="21"/>
        </w:rPr>
        <w:t>参与者</w:t>
      </w:r>
      <w:r w:rsidR="00642A77" w:rsidRPr="00BE595B">
        <w:rPr>
          <w:rStyle w:val="ui-provider"/>
          <w:rFonts w:ascii="SimSun" w:hAnsi="SimSun" w:hint="eastAsia"/>
          <w:sz w:val="21"/>
          <w:szCs w:val="21"/>
        </w:rPr>
        <w:t>中的</w:t>
      </w:r>
      <w:r w:rsidRPr="00BE595B">
        <w:rPr>
          <w:rStyle w:val="ui-provider"/>
          <w:rFonts w:ascii="SimSun" w:hAnsi="SimSun"/>
          <w:sz w:val="21"/>
          <w:szCs w:val="21"/>
        </w:rPr>
        <w:t>74,800人</w:t>
      </w:r>
      <w:r w:rsidR="00642A77" w:rsidRPr="00BE595B">
        <w:rPr>
          <w:rStyle w:val="ui-provider"/>
          <w:rFonts w:ascii="SimSun" w:hAnsi="SimSun" w:hint="eastAsia"/>
          <w:sz w:val="21"/>
          <w:szCs w:val="21"/>
        </w:rPr>
        <w:t>（占</w:t>
      </w:r>
      <w:r w:rsidRPr="00BE595B">
        <w:rPr>
          <w:rStyle w:val="ui-provider"/>
          <w:rFonts w:ascii="SimSun" w:hAnsi="SimSun"/>
          <w:sz w:val="21"/>
          <w:szCs w:val="21"/>
        </w:rPr>
        <w:t>69%</w:t>
      </w:r>
      <w:r w:rsidR="00642A77" w:rsidRPr="00BE595B">
        <w:rPr>
          <w:rStyle w:val="ui-provider"/>
          <w:rFonts w:ascii="SimSun" w:hAnsi="SimSun" w:hint="eastAsia"/>
          <w:sz w:val="21"/>
          <w:szCs w:val="21"/>
        </w:rPr>
        <w:t>）为</w:t>
      </w:r>
      <w:r w:rsidR="00DA039A" w:rsidRPr="00BE595B">
        <w:rPr>
          <w:rStyle w:val="ui-provider"/>
          <w:rFonts w:ascii="SimSun" w:hAnsi="SimSun"/>
          <w:sz w:val="21"/>
          <w:szCs w:val="21"/>
        </w:rPr>
        <w:t>16至34岁</w:t>
      </w:r>
      <w:r w:rsidRPr="00BE595B">
        <w:rPr>
          <w:rStyle w:val="ui-provider"/>
          <w:rFonts w:ascii="SimSun" w:hAnsi="SimSun"/>
          <w:sz w:val="21"/>
          <w:szCs w:val="21"/>
        </w:rPr>
        <w:t>。另有9,703名学员参加了为其各自国家的知识产权制度翻译和/或定制的20门课程。</w:t>
      </w:r>
    </w:p>
    <w:p w14:paraId="16EC1BD2"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品牌和外观设计</w:t>
      </w:r>
      <w:r w:rsidRPr="00BE595B">
        <w:rPr>
          <w:rFonts w:ascii="SimSun" w:hAnsi="SimSun"/>
          <w:sz w:val="21"/>
          <w:szCs w:val="21"/>
        </w:rPr>
        <w:t>领域，产权组织组织并参与了面向商标、工业品外观设计和地理标志领域相关当局和利益攸关方的技术援助和能力建设活动，尤其是在发展中国家、最不发达国家和经济转型国家，以此增强人力资源能力，以便能够应对有效利用知识产权的广泛要求。这些活动促进实现具体目标4.4和4.7以及具体目标5.5、9.4、9.a和10.a。</w:t>
      </w:r>
    </w:p>
    <w:p w14:paraId="7C528999"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喀麦隆、马来西亚、摩洛哥和秘鲁主题为</w:t>
      </w:r>
      <w:r w:rsidRPr="001E4AB5">
        <w:rPr>
          <w:rFonts w:asciiTheme="minorEastAsia" w:eastAsiaTheme="minorEastAsia" w:hAnsiTheme="minorEastAsia"/>
          <w:sz w:val="21"/>
          <w:szCs w:val="21"/>
        </w:rPr>
        <w:t>“</w:t>
      </w:r>
      <w:r w:rsidRPr="00BE595B">
        <w:rPr>
          <w:rFonts w:ascii="SimSun" w:hAnsi="SimSun"/>
          <w:sz w:val="21"/>
          <w:szCs w:val="21"/>
        </w:rPr>
        <w:t>知识产权、旅游和烹饪：通过知识产权促进旅游业和烹饪的发展</w:t>
      </w:r>
      <w:r w:rsidRPr="001E4AB5">
        <w:rPr>
          <w:rFonts w:asciiTheme="minorEastAsia" w:eastAsiaTheme="minorEastAsia" w:hAnsiTheme="minorEastAsia"/>
          <w:sz w:val="21"/>
          <w:szCs w:val="21"/>
        </w:rPr>
        <w:t>”</w:t>
      </w:r>
      <w:r w:rsidRPr="00BE595B">
        <w:rPr>
          <w:rFonts w:ascii="SimSun" w:hAnsi="SimSun"/>
          <w:sz w:val="21"/>
          <w:szCs w:val="21"/>
        </w:rPr>
        <w:t>的发展议程项目第二阶段继续促进了解和利用与烹饪传统</w:t>
      </w:r>
      <w:r w:rsidRPr="001E4AB5">
        <w:rPr>
          <w:rFonts w:asciiTheme="minorEastAsia" w:eastAsiaTheme="minorEastAsia" w:hAnsiTheme="minorEastAsia"/>
          <w:sz w:val="21"/>
          <w:szCs w:val="21"/>
        </w:rPr>
        <w:t>（</w:t>
      </w:r>
      <w:r w:rsidRPr="00BE595B">
        <w:rPr>
          <w:rFonts w:ascii="SimSun" w:hAnsi="SimSun"/>
          <w:sz w:val="21"/>
          <w:szCs w:val="21"/>
        </w:rPr>
        <w:t>食品和饮料</w:t>
      </w:r>
      <w:r w:rsidRPr="001E4AB5">
        <w:rPr>
          <w:rFonts w:asciiTheme="minorEastAsia" w:eastAsiaTheme="minorEastAsia" w:hAnsiTheme="minorEastAsia"/>
          <w:sz w:val="21"/>
          <w:szCs w:val="21"/>
        </w:rPr>
        <w:t>）</w:t>
      </w:r>
      <w:r w:rsidRPr="00BE595B">
        <w:rPr>
          <w:rFonts w:ascii="SimSun" w:hAnsi="SimSun"/>
          <w:sz w:val="21"/>
          <w:szCs w:val="21"/>
        </w:rPr>
        <w:t>有关的知识产权，以供旅游部门使用。该项目促进实现具体目标4.4和4.7，以及具体目标8.9、9.4、9.a、10.a、16.3和16.6。</w:t>
      </w:r>
    </w:p>
    <w:p w14:paraId="0CEBB6B4"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其他项目，如产权组织-西非国家经济共同体</w:t>
      </w:r>
      <w:r w:rsidRPr="001E4AB5">
        <w:rPr>
          <w:rFonts w:asciiTheme="minorEastAsia" w:eastAsiaTheme="minorEastAsia" w:hAnsiTheme="minorEastAsia"/>
          <w:sz w:val="21"/>
          <w:szCs w:val="21"/>
        </w:rPr>
        <w:t>（</w:t>
      </w:r>
      <w:r w:rsidRPr="00BE595B">
        <w:rPr>
          <w:rFonts w:ascii="SimSun" w:hAnsi="SimSun"/>
          <w:sz w:val="21"/>
          <w:szCs w:val="21"/>
        </w:rPr>
        <w:t>ECOWAS</w:t>
      </w:r>
      <w:r w:rsidRPr="001E4AB5">
        <w:rPr>
          <w:rFonts w:asciiTheme="minorEastAsia" w:eastAsiaTheme="minorEastAsia" w:hAnsiTheme="minorEastAsia"/>
          <w:sz w:val="21"/>
          <w:szCs w:val="21"/>
        </w:rPr>
        <w:t>）</w:t>
      </w:r>
      <w:r w:rsidRPr="00BE595B">
        <w:rPr>
          <w:rFonts w:ascii="SimSun" w:hAnsi="SimSun"/>
          <w:sz w:val="21"/>
          <w:szCs w:val="21"/>
        </w:rPr>
        <w:t>关于在加纳和科特迪瓦开发移动设计应用的试点项目、在安提瓜和巴布达的集体商标项目以及东盟手续协调项目也促进实现可持续发展目标4、8和9。</w:t>
      </w:r>
    </w:p>
    <w:p w14:paraId="52B47F9E" w14:textId="6884C288"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根据《补充〈商标法</w:t>
      </w:r>
      <w:hyperlink r:id="rId23" w:history="1">
        <w:r w:rsidRPr="00BE595B">
          <w:rPr>
            <w:rStyle w:val="Hyperlink"/>
            <w:rFonts w:ascii="SimSun" w:hAnsi="SimSun"/>
            <w:sz w:val="21"/>
            <w:szCs w:val="21"/>
          </w:rPr>
          <w:t>新加坡条约</w:t>
        </w:r>
      </w:hyperlink>
      <w:r w:rsidRPr="00BE595B">
        <w:rPr>
          <w:rFonts w:ascii="SimSun" w:hAnsi="SimSun"/>
          <w:sz w:val="21"/>
          <w:szCs w:val="21"/>
        </w:rPr>
        <w:t>〉的决议》，产权组织在多边基础上分享有关《新加坡条约》实施的法律、技术和制度方面的信息和经验，以及如何充分利用由此产生的机会和益处。2023年，产权组织向阿尔巴尼亚、安哥拉、佛得角、哥伦比亚、赤道几内亚、几内亚比绍、莫桑比克以及圣多美和普林西比提供了此类援助，这些援助为促进实现可持续发展目标4和16。</w:t>
      </w:r>
    </w:p>
    <w:p w14:paraId="589478AA" w14:textId="4827D39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传统知识</w:t>
      </w:r>
      <w:r w:rsidRPr="00BE595B">
        <w:rPr>
          <w:rFonts w:ascii="SimSun" w:hAnsi="SimSun"/>
          <w:sz w:val="21"/>
          <w:szCs w:val="21"/>
        </w:rPr>
        <w:t>领域，产权组织开设了两门远程学习课程，一门是知识产权、传统知识和传统文化表现形式课程，另一门是生命科学知识产权课程。这些课程促进实现目标4.4和4.7。2023年产权组织</w:t>
      </w:r>
      <w:r w:rsidRPr="001E4AB5">
        <w:rPr>
          <w:rFonts w:asciiTheme="minorEastAsia" w:eastAsiaTheme="minorEastAsia" w:hAnsiTheme="minorEastAsia"/>
          <w:sz w:val="21"/>
          <w:szCs w:val="21"/>
        </w:rPr>
        <w:t>“</w:t>
      </w:r>
      <w:r w:rsidRPr="00BE595B">
        <w:rPr>
          <w:rFonts w:ascii="SimSun" w:hAnsi="SimSun"/>
          <w:sz w:val="21"/>
          <w:szCs w:val="21"/>
        </w:rPr>
        <w:t>土著人民和当地社区青年摄影奖</w:t>
      </w:r>
      <w:r w:rsidRPr="001E4AB5">
        <w:rPr>
          <w:rFonts w:asciiTheme="minorEastAsia" w:eastAsiaTheme="minorEastAsia" w:hAnsiTheme="minorEastAsia"/>
          <w:sz w:val="21"/>
          <w:szCs w:val="21"/>
        </w:rPr>
        <w:t>”</w:t>
      </w:r>
      <w:r w:rsidRPr="00BE595B">
        <w:rPr>
          <w:rFonts w:ascii="SimSun" w:hAnsi="SimSun"/>
          <w:sz w:val="21"/>
          <w:szCs w:val="21"/>
        </w:rPr>
        <w:t>以</w:t>
      </w:r>
      <w:r w:rsidRPr="001E4AB5">
        <w:rPr>
          <w:rFonts w:asciiTheme="minorEastAsia" w:eastAsiaTheme="minorEastAsia" w:hAnsiTheme="minorEastAsia"/>
          <w:sz w:val="21"/>
          <w:szCs w:val="21"/>
        </w:rPr>
        <w:t>“</w:t>
      </w:r>
      <w:r w:rsidRPr="00BE595B">
        <w:rPr>
          <w:rFonts w:ascii="SimSun" w:hAnsi="SimSun"/>
          <w:sz w:val="21"/>
          <w:szCs w:val="21"/>
        </w:rPr>
        <w:t>文化之衣，故事之语</w:t>
      </w:r>
      <w:r w:rsidRPr="001E4AB5">
        <w:rPr>
          <w:rFonts w:asciiTheme="minorEastAsia" w:eastAsiaTheme="minorEastAsia" w:hAnsiTheme="minorEastAsia"/>
          <w:sz w:val="21"/>
          <w:szCs w:val="21"/>
        </w:rPr>
        <w:t>”</w:t>
      </w:r>
      <w:r w:rsidRPr="00BE595B">
        <w:rPr>
          <w:rFonts w:ascii="SimSun" w:hAnsi="SimSun"/>
          <w:sz w:val="21"/>
          <w:szCs w:val="21"/>
        </w:rPr>
        <w:t>为主题，鼓励土著青年和当地社区青年提交含有关于其社区服装的重要信息的照片。该摄影奖还提高了土著青年和当地社区青年对如何利用版权来保护其在照片中表达的创造力以及保护传统文化表现形式与知识产权的关系的认识。该活动通过</w:t>
      </w:r>
      <w:r w:rsidR="000F08BF" w:rsidRPr="00BE595B">
        <w:rPr>
          <w:rFonts w:ascii="SimSun" w:hAnsi="SimSun" w:hint="eastAsia"/>
          <w:sz w:val="21"/>
          <w:szCs w:val="21"/>
        </w:rPr>
        <w:t>增加</w:t>
      </w:r>
      <w:r w:rsidR="00B172F1" w:rsidRPr="00BE595B">
        <w:rPr>
          <w:rFonts w:ascii="SimSun" w:hAnsi="SimSun"/>
          <w:sz w:val="21"/>
          <w:szCs w:val="21"/>
        </w:rPr>
        <w:t>青年</w:t>
      </w:r>
      <w:r w:rsidRPr="00BE595B">
        <w:rPr>
          <w:rFonts w:ascii="SimSun" w:hAnsi="SimSun"/>
          <w:sz w:val="21"/>
          <w:szCs w:val="21"/>
        </w:rPr>
        <w:t>获得相关知识产权知识</w:t>
      </w:r>
      <w:r w:rsidR="000F08BF" w:rsidRPr="00BE595B">
        <w:rPr>
          <w:rFonts w:ascii="SimSun" w:hAnsi="SimSun" w:hint="eastAsia"/>
          <w:sz w:val="21"/>
          <w:szCs w:val="21"/>
        </w:rPr>
        <w:t>的能力</w:t>
      </w:r>
      <w:r w:rsidRPr="00BE595B">
        <w:rPr>
          <w:rFonts w:ascii="SimSun" w:hAnsi="SimSun"/>
          <w:sz w:val="21"/>
          <w:szCs w:val="21"/>
        </w:rPr>
        <w:t>和促进其融入，促进实现具体目标4.4和10.2。</w:t>
      </w:r>
    </w:p>
    <w:p w14:paraId="5A219787"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w:t>
      </w:r>
      <w:r w:rsidRPr="00BE595B">
        <w:rPr>
          <w:rFonts w:ascii="SimSun" w:hAnsi="SimSun"/>
          <w:b/>
          <w:sz w:val="21"/>
          <w:szCs w:val="21"/>
        </w:rPr>
        <w:t>仲裁与调解中心</w:t>
      </w:r>
      <w:r w:rsidRPr="00BE595B">
        <w:rPr>
          <w:rFonts w:ascii="SimSun" w:hAnsi="SimSun"/>
          <w:sz w:val="21"/>
          <w:szCs w:val="21"/>
        </w:rPr>
        <w:t>还提供了关于产权组织仲裁与调解的远程学习课程。</w:t>
      </w:r>
      <w:r w:rsidR="004370BE" w:rsidRPr="00BE595B">
        <w:rPr>
          <w:rFonts w:ascii="SimSun" w:hAnsi="SimSun" w:hint="eastAsia"/>
          <w:sz w:val="21"/>
          <w:szCs w:val="21"/>
        </w:rPr>
        <w:t>中心</w:t>
      </w:r>
      <w:r w:rsidRPr="00BE595B">
        <w:rPr>
          <w:rFonts w:ascii="SimSun" w:hAnsi="SimSun"/>
          <w:sz w:val="21"/>
          <w:szCs w:val="21"/>
        </w:rPr>
        <w:t>向妇女提供了知识产权和技术方面的替代性争议解决</w:t>
      </w:r>
      <w:r w:rsidRPr="001E4AB5">
        <w:rPr>
          <w:rFonts w:asciiTheme="minorEastAsia" w:eastAsiaTheme="minorEastAsia" w:hAnsiTheme="minorEastAsia"/>
          <w:sz w:val="21"/>
          <w:szCs w:val="21"/>
        </w:rPr>
        <w:t>（</w:t>
      </w:r>
      <w:r w:rsidRPr="00BE595B">
        <w:rPr>
          <w:rFonts w:ascii="SimSun" w:hAnsi="SimSun"/>
          <w:sz w:val="21"/>
          <w:szCs w:val="21"/>
        </w:rPr>
        <w:t>ADR</w:t>
      </w:r>
      <w:r w:rsidRPr="001E4AB5">
        <w:rPr>
          <w:rFonts w:asciiTheme="minorEastAsia" w:eastAsiaTheme="minorEastAsia" w:hAnsiTheme="minorEastAsia"/>
          <w:sz w:val="21"/>
          <w:szCs w:val="21"/>
        </w:rPr>
        <w:t>）</w:t>
      </w:r>
      <w:r w:rsidRPr="00BE595B">
        <w:rPr>
          <w:rFonts w:ascii="SimSun" w:hAnsi="SimSun"/>
          <w:sz w:val="21"/>
          <w:szCs w:val="21"/>
        </w:rPr>
        <w:t>培训，在2023年世界知识产权日，</w:t>
      </w:r>
      <w:r w:rsidR="00331735" w:rsidRPr="00BE595B">
        <w:rPr>
          <w:rFonts w:ascii="SimSun" w:hAnsi="SimSun" w:hint="eastAsia"/>
          <w:sz w:val="21"/>
          <w:szCs w:val="21"/>
        </w:rPr>
        <w:t>中心</w:t>
      </w:r>
      <w:r w:rsidRPr="00BE595B">
        <w:rPr>
          <w:rFonts w:ascii="SimSun" w:hAnsi="SimSun"/>
          <w:sz w:val="21"/>
          <w:szCs w:val="21"/>
        </w:rPr>
        <w:t>开展了一场关于妇女如何在知识产权争议解决中发挥作用的活动。</w:t>
      </w:r>
      <w:r w:rsidR="006D470A" w:rsidRPr="00BE595B">
        <w:rPr>
          <w:rFonts w:ascii="SimSun" w:hAnsi="SimSun" w:hint="eastAsia"/>
          <w:sz w:val="21"/>
          <w:szCs w:val="21"/>
        </w:rPr>
        <w:t>该中心</w:t>
      </w:r>
      <w:r w:rsidRPr="00BE595B">
        <w:rPr>
          <w:rFonts w:ascii="SimSun" w:hAnsi="SimSun"/>
          <w:sz w:val="21"/>
          <w:szCs w:val="21"/>
        </w:rPr>
        <w:t>进一步支持仲裁中的平等代表权承诺。产权组织的</w:t>
      </w:r>
      <w:r w:rsidRPr="001E4AB5">
        <w:rPr>
          <w:rFonts w:asciiTheme="minorEastAsia" w:eastAsiaTheme="minorEastAsia" w:hAnsiTheme="minorEastAsia"/>
          <w:sz w:val="21"/>
          <w:szCs w:val="21"/>
        </w:rPr>
        <w:t>“</w:t>
      </w:r>
      <w:r w:rsidRPr="00BE595B">
        <w:rPr>
          <w:rFonts w:ascii="SimSun" w:hAnsi="SimSun"/>
          <w:sz w:val="21"/>
          <w:szCs w:val="21"/>
        </w:rPr>
        <w:t>替代性争议解决</w:t>
      </w:r>
      <w:r w:rsidRPr="001E4AB5">
        <w:rPr>
          <w:rFonts w:asciiTheme="minorEastAsia" w:eastAsiaTheme="minorEastAsia" w:hAnsiTheme="minorEastAsia"/>
          <w:sz w:val="21"/>
          <w:szCs w:val="21"/>
        </w:rPr>
        <w:t>（</w:t>
      </w:r>
      <w:r w:rsidRPr="00BE595B">
        <w:rPr>
          <w:rFonts w:ascii="SimSun" w:hAnsi="SimSun"/>
          <w:sz w:val="21"/>
          <w:szCs w:val="21"/>
        </w:rPr>
        <w:t>ADR</w:t>
      </w:r>
      <w:r w:rsidRPr="001E4AB5">
        <w:rPr>
          <w:rFonts w:asciiTheme="minorEastAsia" w:eastAsiaTheme="minorEastAsia" w:hAnsiTheme="minorEastAsia"/>
          <w:sz w:val="21"/>
          <w:szCs w:val="21"/>
        </w:rPr>
        <w:t>）</w:t>
      </w:r>
      <w:r w:rsidRPr="00BE595B">
        <w:rPr>
          <w:rFonts w:ascii="SimSun" w:hAnsi="SimSun"/>
          <w:sz w:val="21"/>
          <w:szCs w:val="21"/>
        </w:rPr>
        <w:t>青年小组</w:t>
      </w:r>
      <w:r w:rsidRPr="001E4AB5">
        <w:rPr>
          <w:rFonts w:asciiTheme="minorEastAsia" w:eastAsiaTheme="minorEastAsia" w:hAnsiTheme="minorEastAsia"/>
          <w:sz w:val="21"/>
          <w:szCs w:val="21"/>
        </w:rPr>
        <w:t>”</w:t>
      </w:r>
      <w:r w:rsidRPr="00BE595B">
        <w:rPr>
          <w:rFonts w:ascii="SimSun" w:hAnsi="SimSun"/>
          <w:sz w:val="21"/>
          <w:szCs w:val="21"/>
        </w:rPr>
        <w:t>为知识产权和争议解决领域的青年专业人员提供了一个交流和培训的论坛。成员资格免费向40岁以下、具有知识产权和ADR背景的专业人员开放。截至2023年底，产权组织ADR青年小组有来自100多个国家的1,300多名成员。这些活动促进实现具体目标4.4和4.5。</w:t>
      </w:r>
    </w:p>
    <w:p w14:paraId="1B55A823" w14:textId="3AED2F2F"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color w:val="000000" w:themeColor="text1"/>
          <w:sz w:val="21"/>
          <w:szCs w:val="21"/>
        </w:rPr>
        <w:t>在</w:t>
      </w:r>
      <w:r w:rsidRPr="00BE595B">
        <w:rPr>
          <w:rFonts w:ascii="SimSun" w:hAnsi="SimSun"/>
          <w:b/>
          <w:color w:val="000000" w:themeColor="text1"/>
          <w:sz w:val="21"/>
          <w:szCs w:val="21"/>
        </w:rPr>
        <w:t>树立尊重知识产权的风尚</w:t>
      </w:r>
      <w:r w:rsidRPr="00BE595B">
        <w:rPr>
          <w:rFonts w:ascii="SimSun" w:hAnsi="SimSun"/>
          <w:color w:val="000000" w:themeColor="text1"/>
          <w:sz w:val="21"/>
          <w:szCs w:val="21"/>
        </w:rPr>
        <w:t>方面，产权组织</w:t>
      </w:r>
      <w:r w:rsidRPr="00BE595B">
        <w:rPr>
          <w:rFonts w:ascii="SimSun" w:hAnsi="SimSun"/>
          <w:sz w:val="21"/>
          <w:szCs w:val="21"/>
        </w:rPr>
        <w:t>为年轻人提供了教育工具和活动，使他们能够理解、尊重和利用知识产权的力量，造福于自己和社区。例如，推出了一款名为</w:t>
      </w:r>
      <w:r w:rsidRPr="001E4AB5">
        <w:rPr>
          <w:rFonts w:asciiTheme="minorEastAsia" w:eastAsiaTheme="minorEastAsia" w:hAnsiTheme="minorEastAsia"/>
          <w:sz w:val="21"/>
          <w:szCs w:val="21"/>
        </w:rPr>
        <w:t>“</w:t>
      </w:r>
      <w:r w:rsidRPr="00BE595B">
        <w:rPr>
          <w:rFonts w:ascii="SimSun" w:hAnsi="SimSun"/>
          <w:sz w:val="21"/>
          <w:szCs w:val="21"/>
        </w:rPr>
        <w:t>知识产权挑战</w:t>
      </w:r>
      <w:r w:rsidRPr="001E4AB5">
        <w:rPr>
          <w:rFonts w:asciiTheme="minorEastAsia" w:eastAsiaTheme="minorEastAsia" w:hAnsiTheme="minorEastAsia"/>
          <w:sz w:val="21"/>
          <w:szCs w:val="21"/>
        </w:rPr>
        <w:t>”</w:t>
      </w:r>
      <w:r w:rsidRPr="00BE595B">
        <w:rPr>
          <w:rFonts w:ascii="SimSun" w:hAnsi="SimSun"/>
          <w:sz w:val="21"/>
          <w:szCs w:val="21"/>
        </w:rPr>
        <w:t>的多语言在线游戏，使儿童了解知识产权，以及年轻人如何利用知识产权来保护自己的创作成果并使之商业化。其他值得注意的例子包括扩大知识产权和公民新闻项目以及产权组织-非洲区域产权组织知识产权俱乐部项目，该项目将知识产权教育纳入青年学生的实践技能培训，为他们提供相关工具，以制作自己的项目和在社区担任知识产权大使。这些努力促进实现具体目标4.4和8.6。</w:t>
      </w:r>
    </w:p>
    <w:p w14:paraId="24FF04C9"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版权和创意产业</w:t>
      </w:r>
      <w:r w:rsidRPr="00BE595B">
        <w:rPr>
          <w:rFonts w:ascii="SimSun" w:hAnsi="SimSun"/>
          <w:sz w:val="21"/>
          <w:szCs w:val="21"/>
        </w:rPr>
        <w:t>领域，产权组织提供了立法援助，帮助成员国充分利用版权制度的灵活性，例如与教育和研究有关的限制和例外情况。2023年，产权组织实施了17个版权和集体管理立法援助项目，促进实现具体目标4.5。此外，还开发了关于保护的工具包，以支持图书馆、博物馆和档案馆等文化遗产机构通过数字保护来保护世界文化遗产，并保护材料免受自然灾害的影响。成员国的法律和政策制定者可以利用这一工具审议与保存复制有关的所有相关问题，并起草更协调、更权威的立法。该工具包支持保存可用于教育和研究的材料，促进实现具体目标4.7。</w:t>
      </w:r>
    </w:p>
    <w:p w14:paraId="272FD7F6"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2023年世界知识产权日活动的主题是</w:t>
      </w:r>
      <w:r w:rsidRPr="001E4AB5">
        <w:rPr>
          <w:rFonts w:asciiTheme="minorEastAsia" w:eastAsiaTheme="minorEastAsia" w:hAnsiTheme="minorEastAsia"/>
          <w:sz w:val="21"/>
          <w:szCs w:val="21"/>
        </w:rPr>
        <w:t>“</w:t>
      </w:r>
      <w:r w:rsidRPr="00BE595B">
        <w:rPr>
          <w:rFonts w:ascii="SimSun" w:hAnsi="SimSun"/>
          <w:sz w:val="21"/>
          <w:szCs w:val="21"/>
        </w:rPr>
        <w:t>女性和知识产权：加速创新创造</w:t>
      </w:r>
      <w:r w:rsidRPr="001E4AB5">
        <w:rPr>
          <w:rFonts w:asciiTheme="minorEastAsia" w:eastAsiaTheme="minorEastAsia" w:hAnsiTheme="minorEastAsia"/>
          <w:sz w:val="21"/>
          <w:szCs w:val="21"/>
        </w:rPr>
        <w:t>”</w:t>
      </w:r>
      <w:r w:rsidRPr="00BE595B">
        <w:rPr>
          <w:rFonts w:ascii="SimSun" w:hAnsi="SimSun"/>
          <w:sz w:val="21"/>
          <w:szCs w:val="21"/>
        </w:rPr>
        <w:t>，旨在提高全球对女性在通过知识产权加速创新和创造方面所发挥作用的认识。来自209个国家的用户访问了世界知识产权日网页。所有数字平台的点击率总和接近4,000万</w:t>
      </w:r>
      <w:r w:rsidRPr="001E4AB5">
        <w:rPr>
          <w:rFonts w:asciiTheme="minorEastAsia" w:eastAsiaTheme="minorEastAsia" w:hAnsiTheme="minorEastAsia"/>
          <w:sz w:val="21"/>
          <w:szCs w:val="21"/>
        </w:rPr>
        <w:t>（</w:t>
      </w:r>
      <w:r w:rsidRPr="00BE595B">
        <w:rPr>
          <w:rFonts w:ascii="SimSun" w:hAnsi="SimSun"/>
          <w:sz w:val="21"/>
          <w:szCs w:val="21"/>
        </w:rPr>
        <w:t>39,897,386</w:t>
      </w:r>
      <w:r w:rsidRPr="001E4AB5">
        <w:rPr>
          <w:rFonts w:asciiTheme="minorEastAsia" w:eastAsiaTheme="minorEastAsia" w:hAnsiTheme="minorEastAsia"/>
          <w:sz w:val="21"/>
          <w:szCs w:val="21"/>
        </w:rPr>
        <w:t>）</w:t>
      </w:r>
      <w:r w:rsidRPr="00BE595B">
        <w:rPr>
          <w:rFonts w:ascii="SimSun" w:hAnsi="SimSun"/>
          <w:sz w:val="21"/>
          <w:szCs w:val="21"/>
        </w:rPr>
        <w:t>，其中</w:t>
      </w:r>
      <w:r w:rsidR="00884E6F" w:rsidRPr="00BE595B">
        <w:rPr>
          <w:rFonts w:ascii="SimSun" w:hAnsi="SimSun" w:hint="eastAsia"/>
          <w:sz w:val="21"/>
          <w:szCs w:val="21"/>
        </w:rPr>
        <w:t>X（原</w:t>
      </w:r>
      <w:r w:rsidRPr="00BE595B">
        <w:rPr>
          <w:rFonts w:ascii="SimSun" w:hAnsi="SimSun"/>
          <w:sz w:val="21"/>
          <w:szCs w:val="21"/>
        </w:rPr>
        <w:t>推特</w:t>
      </w:r>
      <w:r w:rsidR="00884E6F" w:rsidRPr="00BE595B">
        <w:rPr>
          <w:rFonts w:ascii="SimSun" w:hAnsi="SimSun" w:hint="eastAsia"/>
          <w:sz w:val="21"/>
          <w:szCs w:val="21"/>
        </w:rPr>
        <w:t>）</w:t>
      </w:r>
      <w:r w:rsidRPr="00BE595B">
        <w:rPr>
          <w:rFonts w:ascii="SimSun" w:hAnsi="SimSun"/>
          <w:sz w:val="21"/>
          <w:szCs w:val="21"/>
        </w:rPr>
        <w:t>、Meta和LinkedIn的点击率为27,413,428，谷歌的点击率为11,432,478，百度的点击率为1,051,480。世界知识产权日画廊展出了来自62个国家的203位女发明家、企业家、创作者和知识产权专业人士的简介。在世界知识产权日视频大赛中，共收到了来自73个国家的183条视频参赛作品，谷歌、百度和Meta上的总点击量达17,510,703次。通过在国际上传播案例研究和视频，启发人们获得有关知识产权的知识，以及如何为经济发展</w:t>
      </w:r>
      <w:r w:rsidR="00AD1FC6" w:rsidRPr="00BE595B">
        <w:rPr>
          <w:rFonts w:ascii="SimSun" w:hAnsi="SimSun" w:hint="eastAsia"/>
          <w:sz w:val="21"/>
          <w:szCs w:val="21"/>
        </w:rPr>
        <w:t>做</w:t>
      </w:r>
      <w:r w:rsidRPr="00BE595B">
        <w:rPr>
          <w:rFonts w:ascii="SimSun" w:hAnsi="SimSun"/>
          <w:sz w:val="21"/>
          <w:szCs w:val="21"/>
        </w:rPr>
        <w:t>出贡献，世界知识产权日促进实现具体目标4.7和5.a。</w:t>
      </w:r>
    </w:p>
    <w:p w14:paraId="583DBF1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无障碍图书联合会</w:t>
      </w:r>
      <w:r w:rsidRPr="001E4AB5">
        <w:rPr>
          <w:rFonts w:asciiTheme="minorEastAsia" w:eastAsiaTheme="minorEastAsia" w:hAnsiTheme="minorEastAsia"/>
          <w:sz w:val="21"/>
          <w:szCs w:val="21"/>
        </w:rPr>
        <w:t>（</w:t>
      </w:r>
      <w:r w:rsidRPr="00BE595B">
        <w:rPr>
          <w:rFonts w:ascii="SimSun" w:hAnsi="SimSun"/>
          <w:sz w:val="21"/>
          <w:szCs w:val="21"/>
        </w:rPr>
        <w:t>ABC</w:t>
      </w:r>
      <w:r w:rsidRPr="001E4AB5">
        <w:rPr>
          <w:rFonts w:asciiTheme="minorEastAsia" w:eastAsiaTheme="minorEastAsia" w:hAnsiTheme="minorEastAsia"/>
          <w:sz w:val="21"/>
          <w:szCs w:val="21"/>
        </w:rPr>
        <w:t>）</w:t>
      </w:r>
      <w:r w:rsidRPr="00BE595B">
        <w:rPr>
          <w:rFonts w:ascii="SimSun" w:hAnsi="SimSun"/>
          <w:sz w:val="21"/>
          <w:szCs w:val="21"/>
        </w:rPr>
        <w:t>继续切实执行《马拉喀什条约》，为盲人、视力障碍者或其他印刷品阅读障碍者造福。ABC在发展中国家和最不发达国家执行周期为两年的培训和技术援助项目。这些培训和技术援助项目旨在通过向区域组织传授知识，使他们能够以无障碍格式独立制作作为国家学校课程一部分的教育图书，从而改善盲人、视力障碍者或其他印刷品阅读障碍青年的受教育机会。截至2023年底，38个国家以本国语言共制作19,000种无障碍格式教育图书。此外，培训和技术援助合作伙伴根据合同有义务为女性和男性</w:t>
      </w:r>
      <w:r w:rsidRPr="001E4AB5">
        <w:rPr>
          <w:rFonts w:asciiTheme="minorEastAsia" w:eastAsiaTheme="minorEastAsia" w:hAnsiTheme="minorEastAsia"/>
          <w:sz w:val="21"/>
          <w:szCs w:val="21"/>
        </w:rPr>
        <w:t>（</w:t>
      </w:r>
      <w:r w:rsidRPr="00BE595B">
        <w:rPr>
          <w:rFonts w:ascii="SimSun" w:hAnsi="SimSun"/>
          <w:sz w:val="21"/>
          <w:szCs w:val="21"/>
        </w:rPr>
        <w:t>各占50%</w:t>
      </w:r>
      <w:r w:rsidRPr="001E4AB5">
        <w:rPr>
          <w:rFonts w:asciiTheme="minorEastAsia" w:eastAsiaTheme="minorEastAsia" w:hAnsiTheme="minorEastAsia"/>
          <w:sz w:val="21"/>
          <w:szCs w:val="21"/>
        </w:rPr>
        <w:t>）</w:t>
      </w:r>
      <w:r w:rsidRPr="00BE595B">
        <w:rPr>
          <w:rFonts w:ascii="SimSun" w:hAnsi="SimSun"/>
          <w:sz w:val="21"/>
          <w:szCs w:val="21"/>
        </w:rPr>
        <w:t>提供培训。ABC的培训和技术援助项目促进实现具体目标4.3、4.4、4.5和4.7。</w:t>
      </w:r>
    </w:p>
    <w:p w14:paraId="4FE1EFB4"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b/>
          <w:sz w:val="21"/>
          <w:szCs w:val="21"/>
        </w:rPr>
        <w:t>WIPO</w:t>
      </w:r>
      <w:r w:rsidR="00AD1FC6" w:rsidRPr="00BE595B">
        <w:rPr>
          <w:rFonts w:ascii="SimSun" w:hAnsi="SimSun" w:hint="eastAsia"/>
          <w:b/>
          <w:sz w:val="21"/>
          <w:szCs w:val="21"/>
        </w:rPr>
        <w:t xml:space="preserve"> </w:t>
      </w:r>
      <w:r w:rsidRPr="00BE595B">
        <w:rPr>
          <w:rFonts w:ascii="SimSun" w:hAnsi="SimSun"/>
          <w:b/>
          <w:sz w:val="21"/>
          <w:szCs w:val="21"/>
        </w:rPr>
        <w:t>Pulse</w:t>
      </w:r>
      <w:r w:rsidRPr="00BE595B">
        <w:rPr>
          <w:rFonts w:ascii="SimSun" w:hAnsi="SimSun"/>
          <w:sz w:val="21"/>
          <w:szCs w:val="21"/>
        </w:rPr>
        <w:t>是首个全球知识产权认知调查，旨在深入了解世界各地人们对知识产权</w:t>
      </w:r>
      <w:r w:rsidRPr="001E4AB5">
        <w:rPr>
          <w:rFonts w:asciiTheme="minorEastAsia" w:eastAsiaTheme="minorEastAsia" w:hAnsiTheme="minorEastAsia"/>
          <w:sz w:val="21"/>
          <w:szCs w:val="21"/>
        </w:rPr>
        <w:t>（</w:t>
      </w:r>
      <w:r w:rsidRPr="00BE595B">
        <w:rPr>
          <w:rFonts w:ascii="SimSun" w:hAnsi="SimSun"/>
          <w:sz w:val="21"/>
          <w:szCs w:val="21"/>
        </w:rPr>
        <w:t>专利、商标、外观设计、版权和地理标志</w:t>
      </w:r>
      <w:r w:rsidRPr="001E4AB5">
        <w:rPr>
          <w:rFonts w:asciiTheme="minorEastAsia" w:eastAsiaTheme="minorEastAsia" w:hAnsiTheme="minorEastAsia"/>
          <w:sz w:val="21"/>
          <w:szCs w:val="21"/>
        </w:rPr>
        <w:t>）</w:t>
      </w:r>
      <w:r w:rsidRPr="00BE595B">
        <w:rPr>
          <w:rFonts w:ascii="SimSun" w:hAnsi="SimSun"/>
          <w:sz w:val="21"/>
          <w:szCs w:val="21"/>
        </w:rPr>
        <w:t>、个人与创新和品牌接触点以及知识产权对经济的影响的认识和态度。共在50个国家进行了25,000次采访，这些国家的国内生产总值</w:t>
      </w:r>
      <w:r w:rsidRPr="001E4AB5">
        <w:rPr>
          <w:rFonts w:asciiTheme="minorEastAsia" w:eastAsiaTheme="minorEastAsia" w:hAnsiTheme="minorEastAsia"/>
          <w:sz w:val="21"/>
          <w:szCs w:val="21"/>
        </w:rPr>
        <w:t>（</w:t>
      </w:r>
      <w:r w:rsidRPr="00BE595B">
        <w:rPr>
          <w:rFonts w:ascii="SimSun" w:hAnsi="SimSun"/>
          <w:sz w:val="21"/>
          <w:szCs w:val="21"/>
        </w:rPr>
        <w:t>GDP</w:t>
      </w:r>
      <w:r w:rsidRPr="001E4AB5">
        <w:rPr>
          <w:rFonts w:asciiTheme="minorEastAsia" w:eastAsiaTheme="minorEastAsia" w:hAnsiTheme="minorEastAsia"/>
          <w:sz w:val="21"/>
          <w:szCs w:val="21"/>
        </w:rPr>
        <w:t>）</w:t>
      </w:r>
      <w:r w:rsidRPr="00BE595B">
        <w:rPr>
          <w:rFonts w:ascii="SimSun" w:hAnsi="SimSun"/>
          <w:sz w:val="21"/>
          <w:szCs w:val="21"/>
        </w:rPr>
        <w:t>占全球80%以上。一般目标群体是18至65岁的个人。调查结果可以指导知识产权教育项目的制定，使个人具备有效参与知识产权的必要知识和技能。完整报告于2023年9月14日在</w:t>
      </w:r>
      <w:hyperlink r:id="rId24" w:history="1">
        <w:r w:rsidRPr="00BE595B">
          <w:rPr>
            <w:rStyle w:val="Hyperlink"/>
            <w:rFonts w:ascii="SimSun" w:hAnsi="SimSun"/>
            <w:sz w:val="21"/>
            <w:szCs w:val="21"/>
          </w:rPr>
          <w:t>WIPO网站</w:t>
        </w:r>
        <w:r w:rsidRPr="00BE595B">
          <w:rPr>
            <w:rFonts w:ascii="SimSun" w:hAnsi="SimSun"/>
            <w:sz w:val="21"/>
          </w:rPr>
          <w:t>上</w:t>
        </w:r>
      </w:hyperlink>
      <w:r w:rsidRPr="00BE595B">
        <w:rPr>
          <w:rFonts w:ascii="SimSun" w:hAnsi="SimSun"/>
          <w:sz w:val="21"/>
          <w:szCs w:val="21"/>
        </w:rPr>
        <w:t>发布，促进实现具体目标4.4、8.2和9.5。</w:t>
      </w:r>
    </w:p>
    <w:p w14:paraId="38EAB4C7"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合作促进发展</w:t>
      </w:r>
      <w:r w:rsidRPr="00BE595B">
        <w:rPr>
          <w:rFonts w:ascii="SimSun" w:hAnsi="SimSun"/>
          <w:sz w:val="21"/>
          <w:szCs w:val="21"/>
        </w:rPr>
        <w:t>领域，产权组织继续实施支持年轻设计师利用知识产权试点项目，旨在提高年轻设计师在保护和管理知识产权方面的技能和知识。产权组织与巴西和智利的高等教育设计学院合作，确定了一组学生</w:t>
      </w:r>
      <w:r w:rsidRPr="001E4AB5">
        <w:rPr>
          <w:rFonts w:asciiTheme="minorEastAsia" w:eastAsiaTheme="minorEastAsia" w:hAnsiTheme="minorEastAsia"/>
          <w:sz w:val="21"/>
          <w:szCs w:val="21"/>
        </w:rPr>
        <w:t>（“</w:t>
      </w:r>
      <w:r w:rsidRPr="00BE595B">
        <w:rPr>
          <w:rFonts w:ascii="SimSun" w:hAnsi="SimSun"/>
          <w:sz w:val="21"/>
          <w:szCs w:val="21"/>
        </w:rPr>
        <w:t>试点小组</w:t>
      </w:r>
      <w:r w:rsidRPr="001E4AB5">
        <w:rPr>
          <w:rFonts w:asciiTheme="minorEastAsia" w:eastAsiaTheme="minorEastAsia" w:hAnsiTheme="minorEastAsia"/>
          <w:sz w:val="21"/>
          <w:szCs w:val="21"/>
        </w:rPr>
        <w:t>”）</w:t>
      </w:r>
      <w:r w:rsidRPr="00BE595B">
        <w:rPr>
          <w:rFonts w:ascii="SimSun" w:hAnsi="SimSun"/>
          <w:sz w:val="21"/>
          <w:szCs w:val="21"/>
        </w:rPr>
        <w:t>，为选定的地理标志、认证商标和集体商标开发</w:t>
      </w:r>
      <w:r w:rsidRPr="001E4AB5">
        <w:rPr>
          <w:rFonts w:asciiTheme="minorEastAsia" w:eastAsiaTheme="minorEastAsia" w:hAnsiTheme="minorEastAsia"/>
          <w:sz w:val="21"/>
          <w:szCs w:val="21"/>
        </w:rPr>
        <w:t>“</w:t>
      </w:r>
      <w:r w:rsidRPr="00BE595B">
        <w:rPr>
          <w:rFonts w:ascii="SimSun" w:hAnsi="SimSun"/>
          <w:sz w:val="21"/>
          <w:szCs w:val="21"/>
        </w:rPr>
        <w:t>包装</w:t>
      </w:r>
      <w:r w:rsidRPr="001E4AB5">
        <w:rPr>
          <w:rFonts w:asciiTheme="minorEastAsia" w:eastAsiaTheme="minorEastAsia" w:hAnsiTheme="minorEastAsia"/>
          <w:sz w:val="21"/>
          <w:szCs w:val="21"/>
        </w:rPr>
        <w:t>”</w:t>
      </w:r>
      <w:r w:rsidRPr="00BE595B">
        <w:rPr>
          <w:rFonts w:ascii="SimSun" w:hAnsi="SimSun"/>
          <w:sz w:val="21"/>
          <w:szCs w:val="21"/>
        </w:rPr>
        <w:t>解决方案，应对功能挑战、美学需求和形象问题，这将有助于提高产品的商业化程度。学生们参观了社区，以了解生产过程。在巴西，25名学生组成的小组与以下方面合作：i</w:t>
      </w:r>
      <w:r w:rsidRPr="001E4AB5">
        <w:rPr>
          <w:rFonts w:asciiTheme="minorEastAsia" w:eastAsiaTheme="minorEastAsia" w:hAnsiTheme="minorEastAsia"/>
          <w:sz w:val="21"/>
          <w:szCs w:val="21"/>
        </w:rPr>
        <w:t>）</w:t>
      </w:r>
      <w:r w:rsidRPr="00BE595B">
        <w:rPr>
          <w:rFonts w:ascii="SimSun" w:hAnsi="SimSun"/>
          <w:sz w:val="21"/>
          <w:szCs w:val="21"/>
        </w:rPr>
        <w:t>马拉罗萨的藏红花；ii</w:t>
      </w:r>
      <w:r w:rsidRPr="001E4AB5">
        <w:rPr>
          <w:rFonts w:asciiTheme="minorEastAsia" w:eastAsiaTheme="minorEastAsia" w:hAnsiTheme="minorEastAsia"/>
          <w:sz w:val="21"/>
          <w:szCs w:val="21"/>
        </w:rPr>
        <w:t>）</w:t>
      </w:r>
      <w:r w:rsidRPr="00BE595B">
        <w:rPr>
          <w:rFonts w:ascii="SimSun" w:hAnsi="SimSun"/>
          <w:sz w:val="21"/>
          <w:szCs w:val="21"/>
        </w:rPr>
        <w:t>瓜拉纳；iii</w:t>
      </w:r>
      <w:r w:rsidRPr="001E4AB5">
        <w:rPr>
          <w:rFonts w:asciiTheme="minorEastAsia" w:eastAsiaTheme="minorEastAsia" w:hAnsiTheme="minorEastAsia"/>
          <w:sz w:val="21"/>
          <w:szCs w:val="21"/>
        </w:rPr>
        <w:t>）</w:t>
      </w:r>
      <w:r w:rsidRPr="00BE595B">
        <w:rPr>
          <w:rFonts w:ascii="SimSun" w:hAnsi="SimSun"/>
          <w:sz w:val="21"/>
          <w:szCs w:val="21"/>
        </w:rPr>
        <w:t>马塔斯德米纳斯的阿拉比卡咖啡；iv</w:t>
      </w:r>
      <w:r w:rsidRPr="001E4AB5">
        <w:rPr>
          <w:rFonts w:asciiTheme="minorEastAsia" w:eastAsiaTheme="minorEastAsia" w:hAnsiTheme="minorEastAsia"/>
          <w:sz w:val="21"/>
          <w:szCs w:val="21"/>
        </w:rPr>
        <w:t>）</w:t>
      </w:r>
      <w:r w:rsidRPr="00BE595B">
        <w:rPr>
          <w:rFonts w:ascii="SimSun" w:hAnsi="SimSun"/>
          <w:sz w:val="21"/>
          <w:szCs w:val="21"/>
        </w:rPr>
        <w:t>文达诺瓦的腌制肉制品；v</w:t>
      </w:r>
      <w:r w:rsidRPr="001E4AB5">
        <w:rPr>
          <w:rFonts w:asciiTheme="minorEastAsia" w:eastAsiaTheme="minorEastAsia" w:hAnsiTheme="minorEastAsia"/>
          <w:sz w:val="21"/>
          <w:szCs w:val="21"/>
        </w:rPr>
        <w:t>）</w:t>
      </w:r>
      <w:r w:rsidRPr="00BE595B">
        <w:rPr>
          <w:rFonts w:ascii="SimSun" w:hAnsi="SimSun"/>
          <w:sz w:val="21"/>
          <w:szCs w:val="21"/>
        </w:rPr>
        <w:t>蕾丝花边。在智利，100名学生组成的小组与以下方面合作：i</w:t>
      </w:r>
      <w:r w:rsidRPr="001E4AB5">
        <w:rPr>
          <w:rFonts w:asciiTheme="minorEastAsia" w:eastAsiaTheme="minorEastAsia" w:hAnsiTheme="minorEastAsia"/>
          <w:sz w:val="21"/>
          <w:szCs w:val="21"/>
        </w:rPr>
        <w:t>）</w:t>
      </w:r>
      <w:r w:rsidRPr="00BE595B">
        <w:rPr>
          <w:rFonts w:ascii="SimSun" w:hAnsi="SimSun"/>
          <w:sz w:val="21"/>
          <w:szCs w:val="21"/>
        </w:rPr>
        <w:t>阿尔韦蜂蜜；ii</w:t>
      </w:r>
      <w:r w:rsidRPr="001E4AB5">
        <w:rPr>
          <w:rFonts w:asciiTheme="minorEastAsia" w:eastAsiaTheme="minorEastAsia" w:hAnsiTheme="minorEastAsia"/>
          <w:sz w:val="21"/>
          <w:szCs w:val="21"/>
        </w:rPr>
        <w:t>）</w:t>
      </w:r>
      <w:r w:rsidRPr="00BE595B">
        <w:rPr>
          <w:rFonts w:ascii="SimSun" w:hAnsi="SimSun"/>
          <w:sz w:val="21"/>
          <w:szCs w:val="21"/>
        </w:rPr>
        <w:t>普努卡帕苹果酒；iii</w:t>
      </w:r>
      <w:r w:rsidRPr="001E4AB5">
        <w:rPr>
          <w:rFonts w:asciiTheme="minorEastAsia" w:eastAsiaTheme="minorEastAsia" w:hAnsiTheme="minorEastAsia"/>
          <w:sz w:val="21"/>
          <w:szCs w:val="21"/>
        </w:rPr>
        <w:t>）</w:t>
      </w:r>
      <w:r w:rsidRPr="00BE595B">
        <w:rPr>
          <w:rFonts w:ascii="SimSun" w:hAnsi="SimSun"/>
          <w:sz w:val="21"/>
          <w:szCs w:val="21"/>
        </w:rPr>
        <w:t>库拉卡维糖果；iv</w:t>
      </w:r>
      <w:r w:rsidRPr="001E4AB5">
        <w:rPr>
          <w:rFonts w:asciiTheme="minorEastAsia" w:eastAsiaTheme="minorEastAsia" w:hAnsiTheme="minorEastAsia"/>
          <w:sz w:val="21"/>
          <w:szCs w:val="21"/>
        </w:rPr>
        <w:t>）</w:t>
      </w:r>
      <w:r w:rsidRPr="00BE595B">
        <w:rPr>
          <w:rFonts w:ascii="SimSun" w:hAnsi="SimSun"/>
          <w:sz w:val="21"/>
          <w:szCs w:val="21"/>
        </w:rPr>
        <w:t>拉利瓜糖果；v</w:t>
      </w:r>
      <w:r w:rsidRPr="001E4AB5">
        <w:rPr>
          <w:rFonts w:asciiTheme="minorEastAsia" w:eastAsiaTheme="minorEastAsia" w:hAnsiTheme="minorEastAsia"/>
          <w:sz w:val="21"/>
          <w:szCs w:val="21"/>
        </w:rPr>
        <w:t>）</w:t>
      </w:r>
      <w:r w:rsidRPr="00BE595B">
        <w:rPr>
          <w:rFonts w:ascii="SimSun" w:hAnsi="SimSun"/>
          <w:sz w:val="21"/>
          <w:szCs w:val="21"/>
        </w:rPr>
        <w:t>阿尔米兰特·帕斯特内的腌火腿；vi</w:t>
      </w:r>
      <w:r w:rsidRPr="001E4AB5">
        <w:rPr>
          <w:rFonts w:asciiTheme="minorEastAsia" w:eastAsiaTheme="minorEastAsia" w:hAnsiTheme="minorEastAsia"/>
          <w:sz w:val="21"/>
          <w:szCs w:val="21"/>
        </w:rPr>
        <w:t>）</w:t>
      </w:r>
      <w:r w:rsidRPr="00BE595B">
        <w:rPr>
          <w:rFonts w:ascii="SimSun" w:hAnsi="SimSun"/>
          <w:sz w:val="21"/>
          <w:szCs w:val="21"/>
        </w:rPr>
        <w:t>皮卡的柠檬；vii</w:t>
      </w:r>
      <w:r w:rsidRPr="001E4AB5">
        <w:rPr>
          <w:rFonts w:asciiTheme="minorEastAsia" w:eastAsiaTheme="minorEastAsia" w:hAnsiTheme="minorEastAsia"/>
          <w:sz w:val="21"/>
          <w:szCs w:val="21"/>
        </w:rPr>
        <w:t>）</w:t>
      </w:r>
      <w:r w:rsidRPr="00BE595B">
        <w:rPr>
          <w:rFonts w:ascii="SimSun" w:hAnsi="SimSun"/>
          <w:sz w:val="21"/>
          <w:szCs w:val="21"/>
        </w:rPr>
        <w:t>阿轧帕的橄榄。产权组织在智利和巴西举办了一次研讨会，让两国的受益者交流经验，并探讨学生和生产者之间的商业机会。作为可持续发展战略的一部分，巴西微型和小型企业支持服务机构</w:t>
      </w:r>
      <w:r w:rsidRPr="001E4AB5">
        <w:rPr>
          <w:rFonts w:asciiTheme="minorEastAsia" w:eastAsiaTheme="minorEastAsia" w:hAnsiTheme="minorEastAsia"/>
          <w:sz w:val="21"/>
          <w:szCs w:val="21"/>
        </w:rPr>
        <w:t>（</w:t>
      </w:r>
      <w:r w:rsidRPr="00BE595B">
        <w:rPr>
          <w:rFonts w:ascii="SimSun" w:hAnsi="SimSun"/>
          <w:sz w:val="21"/>
          <w:szCs w:val="21"/>
        </w:rPr>
        <w:t>SEBRAE</w:t>
      </w:r>
      <w:r w:rsidRPr="001E4AB5">
        <w:rPr>
          <w:rFonts w:asciiTheme="minorEastAsia" w:eastAsiaTheme="minorEastAsia" w:hAnsiTheme="minorEastAsia"/>
          <w:sz w:val="21"/>
          <w:szCs w:val="21"/>
        </w:rPr>
        <w:t>）</w:t>
      </w:r>
      <w:r w:rsidRPr="00BE595B">
        <w:rPr>
          <w:rFonts w:ascii="SimSun" w:hAnsi="SimSun"/>
          <w:sz w:val="21"/>
          <w:szCs w:val="21"/>
        </w:rPr>
        <w:t>决定为学生们设计的包装解决方案原型提供资助。该项目促进实现具体目标4.4以及具体目标9.b和17.9。</w:t>
      </w:r>
    </w:p>
    <w:p w14:paraId="12963668"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2023年3月，举办了</w:t>
      </w:r>
      <w:r w:rsidRPr="001E4AB5">
        <w:rPr>
          <w:rFonts w:asciiTheme="minorEastAsia" w:eastAsiaTheme="minorEastAsia" w:hAnsiTheme="minorEastAsia"/>
          <w:sz w:val="21"/>
          <w:szCs w:val="21"/>
        </w:rPr>
        <w:t>“</w:t>
      </w:r>
      <w:r w:rsidRPr="00BE595B">
        <w:rPr>
          <w:rFonts w:ascii="SimSun" w:hAnsi="SimSun"/>
          <w:sz w:val="21"/>
          <w:szCs w:val="21"/>
        </w:rPr>
        <w:t>产权组织-巴西知识产权与气候问题暑期班：葡语国家特别版</w:t>
      </w:r>
      <w:r w:rsidRPr="001E4AB5">
        <w:rPr>
          <w:rFonts w:asciiTheme="minorEastAsia" w:eastAsiaTheme="minorEastAsia" w:hAnsiTheme="minorEastAsia"/>
          <w:sz w:val="21"/>
          <w:szCs w:val="21"/>
        </w:rPr>
        <w:t>”</w:t>
      </w:r>
      <w:r w:rsidRPr="00BE595B">
        <w:rPr>
          <w:rFonts w:ascii="SimSun" w:hAnsi="SimSun"/>
          <w:sz w:val="21"/>
          <w:szCs w:val="21"/>
        </w:rPr>
        <w:t>，旨在培养100名葡萄牙语专业人员在气候知识产权相关方面的战略管理技能。该项目包括七个模块：i</w:t>
      </w:r>
      <w:r w:rsidR="00535230" w:rsidRPr="00BE595B">
        <w:rPr>
          <w:rFonts w:ascii="SimSun" w:hAnsi="SimSun" w:hint="eastAsia"/>
          <w:sz w:val="21"/>
          <w:szCs w:val="21"/>
        </w:rPr>
        <w:t>）</w:t>
      </w:r>
      <w:r w:rsidRPr="00BE595B">
        <w:rPr>
          <w:rFonts w:ascii="SimSun" w:hAnsi="SimSun"/>
          <w:sz w:val="21"/>
          <w:szCs w:val="21"/>
        </w:rPr>
        <w:t>气候与政策；ii</w:t>
      </w:r>
      <w:r w:rsidRPr="001E4AB5">
        <w:rPr>
          <w:rFonts w:asciiTheme="minorEastAsia" w:eastAsiaTheme="minorEastAsia" w:hAnsiTheme="minorEastAsia"/>
          <w:sz w:val="21"/>
          <w:szCs w:val="21"/>
        </w:rPr>
        <w:t>）</w:t>
      </w:r>
      <w:r w:rsidRPr="00BE595B">
        <w:rPr>
          <w:rFonts w:ascii="SimSun" w:hAnsi="SimSun"/>
          <w:sz w:val="21"/>
          <w:szCs w:val="21"/>
        </w:rPr>
        <w:t>生态创新；iii</w:t>
      </w:r>
      <w:r w:rsidRPr="001E4AB5">
        <w:rPr>
          <w:rFonts w:asciiTheme="minorEastAsia" w:eastAsiaTheme="minorEastAsia" w:hAnsiTheme="minorEastAsia"/>
          <w:sz w:val="21"/>
          <w:szCs w:val="21"/>
        </w:rPr>
        <w:t>）</w:t>
      </w:r>
      <w:r w:rsidRPr="00BE595B">
        <w:rPr>
          <w:rFonts w:ascii="SimSun" w:hAnsi="SimSun"/>
          <w:sz w:val="21"/>
          <w:szCs w:val="21"/>
        </w:rPr>
        <w:t>绿色专利；iv</w:t>
      </w:r>
      <w:r w:rsidRPr="001E4AB5">
        <w:rPr>
          <w:rFonts w:asciiTheme="minorEastAsia" w:eastAsiaTheme="minorEastAsia" w:hAnsiTheme="minorEastAsia"/>
          <w:sz w:val="21"/>
          <w:szCs w:val="21"/>
        </w:rPr>
        <w:t>）</w:t>
      </w:r>
      <w:r w:rsidRPr="00BE595B">
        <w:rPr>
          <w:rFonts w:ascii="SimSun" w:hAnsi="SimSun"/>
          <w:sz w:val="21"/>
          <w:szCs w:val="21"/>
        </w:rPr>
        <w:t>商业和气候；v</w:t>
      </w:r>
      <w:r w:rsidRPr="001E4AB5">
        <w:rPr>
          <w:rFonts w:asciiTheme="minorEastAsia" w:eastAsiaTheme="minorEastAsia" w:hAnsiTheme="minorEastAsia"/>
          <w:sz w:val="21"/>
          <w:szCs w:val="21"/>
        </w:rPr>
        <w:t>）</w:t>
      </w:r>
      <w:r w:rsidRPr="00BE595B">
        <w:rPr>
          <w:rFonts w:ascii="SimSun" w:hAnsi="SimSun"/>
          <w:sz w:val="21"/>
          <w:szCs w:val="21"/>
        </w:rPr>
        <w:t>品牌、外观设计和地理标志；vi</w:t>
      </w:r>
      <w:r w:rsidRPr="001E4AB5">
        <w:rPr>
          <w:rFonts w:asciiTheme="minorEastAsia" w:eastAsiaTheme="minorEastAsia" w:hAnsiTheme="minorEastAsia"/>
          <w:sz w:val="21"/>
          <w:szCs w:val="21"/>
        </w:rPr>
        <w:t>）</w:t>
      </w:r>
      <w:r w:rsidRPr="00BE595B">
        <w:rPr>
          <w:rFonts w:ascii="SimSun" w:hAnsi="SimSun"/>
          <w:sz w:val="21"/>
          <w:szCs w:val="21"/>
        </w:rPr>
        <w:t>传统知识和植物品种；vii</w:t>
      </w:r>
      <w:r w:rsidR="00535230" w:rsidRPr="00BE595B">
        <w:rPr>
          <w:rFonts w:ascii="SimSun" w:hAnsi="SimSun" w:hint="eastAsia"/>
          <w:sz w:val="21"/>
          <w:szCs w:val="21"/>
        </w:rPr>
        <w:t>）</w:t>
      </w:r>
      <w:r w:rsidRPr="00BE595B">
        <w:rPr>
          <w:rFonts w:ascii="SimSun" w:hAnsi="SimSun"/>
          <w:sz w:val="21"/>
          <w:szCs w:val="21"/>
        </w:rPr>
        <w:t>知识产权和气候的多学科方面。参加者包括</w:t>
      </w:r>
      <w:r w:rsidR="00DC1B82" w:rsidRPr="00BE595B">
        <w:rPr>
          <w:rFonts w:ascii="SimSun" w:hAnsi="SimSun" w:hint="eastAsia"/>
          <w:sz w:val="21"/>
          <w:szCs w:val="21"/>
        </w:rPr>
        <w:t>来自</w:t>
      </w:r>
      <w:r w:rsidRPr="00BE595B">
        <w:rPr>
          <w:rFonts w:ascii="SimSun" w:hAnsi="SimSun"/>
          <w:sz w:val="21"/>
          <w:szCs w:val="21"/>
        </w:rPr>
        <w:t>七个国家的律师、学者、研究人员、企业代表和政府官员。这项活动促进实现可持续发展目标4、7、12和13。产权组织提供了2023年</w:t>
      </w:r>
      <w:r w:rsidRPr="001E4AB5">
        <w:rPr>
          <w:rFonts w:asciiTheme="minorEastAsia" w:eastAsiaTheme="minorEastAsia" w:hAnsiTheme="minorEastAsia"/>
          <w:sz w:val="21"/>
          <w:szCs w:val="21"/>
        </w:rPr>
        <w:t>“</w:t>
      </w:r>
      <w:r w:rsidRPr="00BE595B">
        <w:rPr>
          <w:rFonts w:ascii="SimSun" w:hAnsi="SimSun"/>
          <w:sz w:val="21"/>
          <w:szCs w:val="21"/>
        </w:rPr>
        <w:t>媒体专业人员知识产权课程：知识产权、包容性和多样性</w:t>
      </w:r>
      <w:r w:rsidRPr="001E4AB5">
        <w:rPr>
          <w:rFonts w:asciiTheme="minorEastAsia" w:eastAsiaTheme="minorEastAsia" w:hAnsiTheme="minorEastAsia"/>
          <w:sz w:val="21"/>
          <w:szCs w:val="21"/>
        </w:rPr>
        <w:t>”</w:t>
      </w:r>
      <w:r w:rsidRPr="00BE595B">
        <w:rPr>
          <w:rFonts w:ascii="SimSun" w:hAnsi="SimSun"/>
          <w:sz w:val="21"/>
          <w:szCs w:val="21"/>
        </w:rPr>
        <w:t>，旨在提升媒体专业人员对知识产权与包容性和多样性交叉领域的了解。本课程促进实现可持续发展目标4和10。</w:t>
      </w:r>
    </w:p>
    <w:p w14:paraId="6EE4E1F0" w14:textId="77777777" w:rsidR="0027157B" w:rsidRDefault="00AD1FC6"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hint="eastAsia"/>
          <w:sz w:val="21"/>
          <w:szCs w:val="21"/>
        </w:rPr>
        <w:t>作为</w:t>
      </w:r>
      <w:r w:rsidRPr="001E4AB5">
        <w:rPr>
          <w:rFonts w:asciiTheme="minorEastAsia" w:eastAsiaTheme="minorEastAsia" w:hAnsiTheme="minorEastAsia" w:hint="eastAsia"/>
          <w:sz w:val="21"/>
          <w:szCs w:val="21"/>
        </w:rPr>
        <w:t>“</w:t>
      </w:r>
      <w:r w:rsidRPr="00BE595B">
        <w:rPr>
          <w:rFonts w:ascii="SimSun" w:hAnsi="SimSun" w:hint="eastAsia"/>
          <w:sz w:val="21"/>
          <w:szCs w:val="21"/>
        </w:rPr>
        <w:t>弥合知识产权生态系统中的差距</w:t>
      </w:r>
      <w:r w:rsidRPr="001E4AB5">
        <w:rPr>
          <w:rFonts w:asciiTheme="minorEastAsia" w:eastAsiaTheme="minorEastAsia" w:hAnsiTheme="minorEastAsia" w:hint="eastAsia"/>
          <w:sz w:val="21"/>
          <w:szCs w:val="21"/>
        </w:rPr>
        <w:t>”</w:t>
      </w:r>
      <w:r w:rsidRPr="00BE595B">
        <w:rPr>
          <w:rFonts w:ascii="SimSun" w:hAnsi="SimSun" w:hint="eastAsia"/>
          <w:sz w:val="21"/>
          <w:szCs w:val="21"/>
        </w:rPr>
        <w:t>总体项目的一部分，2023年12月举行了</w:t>
      </w:r>
      <w:r w:rsidRPr="001E4AB5">
        <w:rPr>
          <w:rFonts w:asciiTheme="minorEastAsia" w:eastAsiaTheme="minorEastAsia" w:hAnsiTheme="minorEastAsia" w:hint="eastAsia"/>
          <w:sz w:val="21"/>
          <w:szCs w:val="21"/>
        </w:rPr>
        <w:t>“</w:t>
      </w:r>
      <w:r w:rsidRPr="00BE595B">
        <w:rPr>
          <w:rFonts w:ascii="SimSun" w:hAnsi="SimSun" w:hint="eastAsia"/>
          <w:sz w:val="21"/>
          <w:szCs w:val="21"/>
        </w:rPr>
        <w:t>差异能力与知识产权从霸凌到建设：Hand Solo实现包容性和赋权的创新之旅</w:t>
      </w:r>
      <w:r w:rsidRPr="001E4AB5">
        <w:rPr>
          <w:rFonts w:asciiTheme="minorEastAsia" w:eastAsiaTheme="minorEastAsia" w:hAnsiTheme="minorEastAsia" w:hint="eastAsia"/>
          <w:sz w:val="21"/>
          <w:szCs w:val="21"/>
        </w:rPr>
        <w:t>”</w:t>
      </w:r>
      <w:r w:rsidRPr="00BE595B">
        <w:rPr>
          <w:rFonts w:ascii="SimSun" w:hAnsi="SimSun" w:hint="eastAsia"/>
          <w:sz w:val="21"/>
          <w:szCs w:val="21"/>
        </w:rPr>
        <w:t>会议，旨在通过促进包容性和对差异能力的理解来减少不平等。会议为日内瓦的年轻学生提供了一次变革性的教育体验，展示了用乐高积木动手搭建假肢的过程，并促进了包容性和对差异能力的理解。会议的一个部分在万国宫举行，以庆祝《世界人权宣言》75周年，强调了对联合倡议的共同承诺，并为合作努力奠定了基础。这次会议有助于实现具体目标4.4以及具体目标8.5、9.3、10.2和17.16。还组织了一次关于</w:t>
      </w:r>
      <w:r w:rsidRPr="001E4AB5">
        <w:rPr>
          <w:rFonts w:asciiTheme="minorEastAsia" w:eastAsiaTheme="minorEastAsia" w:hAnsiTheme="minorEastAsia" w:hint="eastAsia"/>
          <w:sz w:val="21"/>
          <w:szCs w:val="21"/>
        </w:rPr>
        <w:t>“</w:t>
      </w:r>
      <w:r w:rsidRPr="00BE595B">
        <w:rPr>
          <w:rFonts w:ascii="SimSun" w:hAnsi="SimSun" w:hint="eastAsia"/>
          <w:sz w:val="21"/>
          <w:szCs w:val="21"/>
        </w:rPr>
        <w:t>知识产权与传统生产者</w:t>
      </w:r>
      <w:r w:rsidRPr="001E4AB5">
        <w:rPr>
          <w:rFonts w:asciiTheme="minorEastAsia" w:eastAsiaTheme="minorEastAsia" w:hAnsiTheme="minorEastAsia" w:hint="eastAsia"/>
          <w:sz w:val="21"/>
          <w:szCs w:val="21"/>
        </w:rPr>
        <w:t>”</w:t>
      </w:r>
      <w:r w:rsidRPr="00BE595B">
        <w:rPr>
          <w:rFonts w:ascii="SimSun" w:hAnsi="SimSun" w:hint="eastAsia"/>
          <w:sz w:val="21"/>
          <w:szCs w:val="21"/>
        </w:rPr>
        <w:t>的网络研讨会，讨论了与保护和促进传统手工艺、负责任的消费和生产实践以及现代技术的使用相关的问题。网络研讨会旨在确保传统生产者获得知识产权领域的教育、知识共享、技术和技能，并促进实现具体目标4.4和4.7以及具体目标5.b、8.3和10.2。</w:t>
      </w:r>
    </w:p>
    <w:p w14:paraId="2BBD2DF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实施了在巴林</w:t>
      </w:r>
      <w:r w:rsidRPr="001E4AB5">
        <w:rPr>
          <w:rFonts w:asciiTheme="minorEastAsia" w:eastAsiaTheme="minorEastAsia" w:hAnsiTheme="minorEastAsia"/>
          <w:sz w:val="21"/>
          <w:szCs w:val="21"/>
        </w:rPr>
        <w:t>“</w:t>
      </w:r>
      <w:r w:rsidRPr="00BE595B">
        <w:rPr>
          <w:rFonts w:ascii="SimSun" w:hAnsi="SimSun"/>
          <w:sz w:val="21"/>
          <w:szCs w:val="21"/>
        </w:rPr>
        <w:t>制定《商标申请审查指南》</w:t>
      </w:r>
      <w:r w:rsidRPr="001E4AB5">
        <w:rPr>
          <w:rFonts w:asciiTheme="minorEastAsia" w:eastAsiaTheme="minorEastAsia" w:hAnsiTheme="minorEastAsia"/>
          <w:sz w:val="21"/>
          <w:szCs w:val="21"/>
        </w:rPr>
        <w:t>”</w:t>
      </w:r>
      <w:r w:rsidRPr="00BE595B">
        <w:rPr>
          <w:rFonts w:ascii="SimSun" w:hAnsi="SimSun"/>
          <w:sz w:val="21"/>
          <w:szCs w:val="21"/>
        </w:rPr>
        <w:t>的项目，旨在制定指南，作为商标审查员的重要参考材料，帮助实现行政决定标准化，并根据相关的国家和区域《商标法》文本减少出错的可能性。事实证明，《指南》有利于商标审查人员高效、准确地评估商标申请，从而更快、更一致地做出决定。该项目于2023年完成实施，促进实现具体目标4.4和4.7，以及具体目标9.4、9.a和10.a。</w:t>
      </w:r>
    </w:p>
    <w:p w14:paraId="5602038B" w14:textId="5DBCB6C9" w:rsidR="002A674D"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color w:val="000000" w:themeColor="text1"/>
          <w:sz w:val="21"/>
          <w:szCs w:val="21"/>
        </w:rPr>
        <w:t>冈比亚实施了另一个关于为</w:t>
      </w:r>
      <w:r w:rsidRPr="00BE595B">
        <w:rPr>
          <w:rFonts w:ascii="SimSun" w:hAnsi="SimSun"/>
          <w:sz w:val="21"/>
          <w:szCs w:val="21"/>
        </w:rPr>
        <w:t>选定的中小企业制定知识产权和品牌推广战略的项目，旨在教授女性拥有的中小企业如何有效利用知识产权工具，加强其在当地、区域和全球市场的竞争力，并促进使用知识产权工具和营销战略来保护产品和实现商业化。该项目促进实现具体目标4.4和4.7，以及具体目标5.5、5.b、8.6、9.3、9.b和10.2。与此同时，加纳肯特布地理标志项目旨在协助编织者注册肯特布地理标志，并制定品牌推广和营销战略。当地生产商将有能力保障他们的生计，防止侵权行为，并使其肯特布的质量在全球市场上得到更好的认可。该项目促进实现具体目标4.4和4.7，以及具体目标8.6、9.3、9.b和10.2。</w:t>
      </w:r>
    </w:p>
    <w:p w14:paraId="4E0751EF"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可持续发展目标5：实现性别平等，增强所有妇女和女童的权能</w:t>
      </w:r>
    </w:p>
    <w:p w14:paraId="4CE999F5"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bookmarkStart w:id="5" w:name="_Hlk160980507"/>
      <w:r w:rsidRPr="00BE595B">
        <w:rPr>
          <w:rFonts w:ascii="SimSun" w:hAnsi="SimSun"/>
          <w:sz w:val="21"/>
          <w:szCs w:val="21"/>
        </w:rPr>
        <w:t>2023年，产权组织的</w:t>
      </w:r>
      <w:r w:rsidRPr="00BE595B">
        <w:rPr>
          <w:rFonts w:ascii="SimSun" w:hAnsi="SimSun"/>
          <w:b/>
          <w:sz w:val="21"/>
          <w:szCs w:val="21"/>
        </w:rPr>
        <w:t>知识产权与性别平等</w:t>
      </w:r>
      <w:r w:rsidRPr="00BE595B">
        <w:rPr>
          <w:rFonts w:ascii="SimSun" w:hAnsi="SimSun"/>
          <w:sz w:val="21"/>
          <w:szCs w:val="21"/>
        </w:rPr>
        <w:t>工作达到了一个重要的里程碑，启动了第一项产权组织</w:t>
      </w:r>
      <w:hyperlink r:id="rId25" w:history="1">
        <w:r w:rsidRPr="00BE595B">
          <w:rPr>
            <w:rStyle w:val="Hyperlink"/>
            <w:rFonts w:ascii="SimSun" w:hAnsi="SimSun"/>
            <w:sz w:val="21"/>
            <w:szCs w:val="21"/>
          </w:rPr>
          <w:t>知识产权与性别行动计划</w:t>
        </w:r>
      </w:hyperlink>
      <w:r w:rsidRPr="001E4AB5">
        <w:rPr>
          <w:rFonts w:asciiTheme="minorEastAsia" w:eastAsiaTheme="minorEastAsia" w:hAnsiTheme="minorEastAsia"/>
          <w:sz w:val="21"/>
          <w:szCs w:val="21"/>
        </w:rPr>
        <w:t>（</w:t>
      </w:r>
      <w:r w:rsidRPr="00BE595B">
        <w:rPr>
          <w:rFonts w:ascii="SimSun" w:hAnsi="SimSun"/>
          <w:sz w:val="21"/>
          <w:szCs w:val="21"/>
        </w:rPr>
        <w:t>IPGAP</w:t>
      </w:r>
      <w:r w:rsidRPr="001E4AB5">
        <w:rPr>
          <w:rFonts w:asciiTheme="minorEastAsia" w:eastAsiaTheme="minorEastAsia" w:hAnsiTheme="minorEastAsia"/>
          <w:sz w:val="21"/>
          <w:szCs w:val="21"/>
        </w:rPr>
        <w:t>）</w:t>
      </w:r>
      <w:r w:rsidRPr="00BE595B">
        <w:rPr>
          <w:rFonts w:ascii="SimSun" w:hAnsi="SimSun"/>
          <w:sz w:val="21"/>
          <w:szCs w:val="21"/>
        </w:rPr>
        <w:t>，代表了本组织对旨在实现经济平等和增强妇女权能的全球倡议的贡献。根据产权组织2022-2026年</w:t>
      </w:r>
      <w:hyperlink r:id="rId26" w:history="1">
        <w:r w:rsidRPr="00BE595B">
          <w:rPr>
            <w:rStyle w:val="Hyperlink"/>
            <w:rFonts w:ascii="SimSun" w:hAnsi="SimSun"/>
            <w:sz w:val="21"/>
            <w:szCs w:val="21"/>
          </w:rPr>
          <w:t>中期战略计划</w:t>
        </w:r>
      </w:hyperlink>
      <w:r w:rsidRPr="001E4AB5">
        <w:rPr>
          <w:rFonts w:asciiTheme="minorEastAsia" w:eastAsiaTheme="minorEastAsia" w:hAnsiTheme="minorEastAsia"/>
          <w:sz w:val="21"/>
          <w:szCs w:val="21"/>
        </w:rPr>
        <w:t>（</w:t>
      </w:r>
      <w:r w:rsidRPr="00BE595B">
        <w:rPr>
          <w:rFonts w:ascii="SimSun" w:hAnsi="SimSun"/>
          <w:sz w:val="21"/>
          <w:szCs w:val="21"/>
        </w:rPr>
        <w:t>MTSP</w:t>
      </w:r>
      <w:r w:rsidRPr="001E4AB5">
        <w:rPr>
          <w:rFonts w:asciiTheme="minorEastAsia" w:eastAsiaTheme="minorEastAsia" w:hAnsiTheme="minorEastAsia"/>
          <w:sz w:val="21"/>
          <w:szCs w:val="21"/>
        </w:rPr>
        <w:t>）</w:t>
      </w:r>
      <w:r w:rsidRPr="00BE595B">
        <w:rPr>
          <w:rFonts w:ascii="SimSun" w:hAnsi="SimSun"/>
          <w:sz w:val="21"/>
          <w:szCs w:val="21"/>
        </w:rPr>
        <w:t>，IPGAP设想了一个世界，在这个世界上，任何地方的妇女的创新创造都得到知识产权的支持，造福于所有人。为推动发展议程的实施，知识产权与性别行动计划的举措包括：i)政府支持将性别观点纳入知识产权立法、政策、计划和项目；ii)开展研究，查明并缩小知识产权领域的性别差距；iii)实施以性别为导向的新项目，以有效训练和提高妇女和支持妇女的机构的知识产权技能。2023年，本组织成立了一个内部知识产权和性别平等工作组，以促进在所有知识产权和两性平等倡议和伙伴关系方面开展有效的内部和外部战略合作，重点是增强妇女和其他代表性不足社区的经济权能。与国际贸易中心</w:t>
      </w:r>
      <w:r w:rsidRPr="001E4AB5">
        <w:rPr>
          <w:rFonts w:asciiTheme="minorEastAsia" w:eastAsiaTheme="minorEastAsia" w:hAnsiTheme="minorEastAsia"/>
          <w:sz w:val="21"/>
          <w:szCs w:val="21"/>
        </w:rPr>
        <w:t>（</w:t>
      </w:r>
      <w:r w:rsidRPr="00BE595B">
        <w:rPr>
          <w:rFonts w:ascii="SimSun" w:hAnsi="SimSun"/>
          <w:sz w:val="21"/>
          <w:szCs w:val="21"/>
        </w:rPr>
        <w:t>ITC</w:t>
      </w:r>
      <w:r w:rsidRPr="001E4AB5">
        <w:rPr>
          <w:rFonts w:asciiTheme="minorEastAsia" w:eastAsiaTheme="minorEastAsia" w:hAnsiTheme="minorEastAsia"/>
          <w:sz w:val="21"/>
          <w:szCs w:val="21"/>
        </w:rPr>
        <w:t>）</w:t>
      </w:r>
      <w:r w:rsidRPr="00BE595B">
        <w:rPr>
          <w:rFonts w:ascii="SimSun" w:hAnsi="SimSun"/>
          <w:sz w:val="21"/>
          <w:szCs w:val="21"/>
        </w:rPr>
        <w:t>、世界贸易组织</w:t>
      </w:r>
      <w:r w:rsidR="004E66B5" w:rsidRPr="00BE595B">
        <w:rPr>
          <w:rFonts w:ascii="SimSun" w:hAnsi="SimSun" w:hint="eastAsia"/>
          <w:sz w:val="21"/>
          <w:szCs w:val="21"/>
        </w:rPr>
        <w:t>（世贸组织）</w:t>
      </w:r>
      <w:r w:rsidRPr="00BE595B">
        <w:rPr>
          <w:rFonts w:ascii="SimSun" w:hAnsi="SimSun"/>
          <w:sz w:val="21"/>
          <w:szCs w:val="21"/>
        </w:rPr>
        <w:t>性别问题研究中心和其他以经济/科学为导向的组织已经建立或正在建立这种合作伙伴关系。产权组织在这一领域的工作促进实现具体目标5.5、5.a、5.b和5.c。</w:t>
      </w:r>
    </w:p>
    <w:bookmarkEnd w:id="5"/>
    <w:p w14:paraId="5920334D"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通过广泛的协商过程，产权组织的将性别问题纳入主流工作推出了一项新的性别平等</w:t>
      </w:r>
      <w:hyperlink r:id="rId27" w:history="1">
        <w:r w:rsidRPr="00BE595B">
          <w:rPr>
            <w:rStyle w:val="Hyperlink"/>
            <w:rFonts w:ascii="SimSun" w:hAnsi="SimSun"/>
            <w:sz w:val="21"/>
            <w:szCs w:val="21"/>
          </w:rPr>
          <w:t>政策</w:t>
        </w:r>
      </w:hyperlink>
      <w:r w:rsidRPr="00BE595B">
        <w:rPr>
          <w:rFonts w:ascii="SimSun" w:hAnsi="SimSun"/>
          <w:sz w:val="21"/>
          <w:szCs w:val="21"/>
        </w:rPr>
        <w:t>，该政策延续了2014年的政策，并支持实施</w:t>
      </w:r>
      <w:hyperlink r:id="rId28" w:history="1">
        <w:r w:rsidRPr="00BE595B">
          <w:rPr>
            <w:rStyle w:val="Hyperlink"/>
            <w:rFonts w:ascii="SimSun" w:hAnsi="SimSun"/>
            <w:sz w:val="21"/>
            <w:szCs w:val="21"/>
          </w:rPr>
          <w:t>知识产权和性别行动计划</w:t>
        </w:r>
      </w:hyperlink>
      <w:r w:rsidRPr="001E4AB5">
        <w:rPr>
          <w:rFonts w:asciiTheme="minorEastAsia" w:eastAsiaTheme="minorEastAsia" w:hAnsiTheme="minorEastAsia"/>
          <w:sz w:val="21"/>
          <w:szCs w:val="21"/>
        </w:rPr>
        <w:t>（</w:t>
      </w:r>
      <w:r w:rsidRPr="00BE595B">
        <w:rPr>
          <w:rFonts w:ascii="SimSun" w:hAnsi="SimSun"/>
          <w:sz w:val="21"/>
          <w:szCs w:val="21"/>
        </w:rPr>
        <w:t>2022-2026年IPGAP</w:t>
      </w:r>
      <w:r w:rsidRPr="001E4AB5">
        <w:rPr>
          <w:rFonts w:asciiTheme="minorEastAsia" w:eastAsiaTheme="minorEastAsia" w:hAnsiTheme="minorEastAsia"/>
          <w:sz w:val="21"/>
          <w:szCs w:val="21"/>
        </w:rPr>
        <w:t>）</w:t>
      </w:r>
      <w:r w:rsidRPr="00BE595B">
        <w:rPr>
          <w:rFonts w:ascii="SimSun" w:hAnsi="SimSun"/>
          <w:sz w:val="21"/>
          <w:szCs w:val="21"/>
        </w:rPr>
        <w:t>。新政策将于2024年1月推出，旨在将性别平等的考量纳入所有工作领域的主流，并促进包容性的组织文化以及妇女在所有职等和级别的平等代表权。这些目标将通过有关性别平等、妇女赋权、性别均衡的员工队伍的知识建设和知识共享，以及通过提供由包容性、促进性别平等的政策支持的有利工作环境来实现。这些有针对性和纳入主流的行动使产权组织能够建立包容性的结构、程序和举措，同时解决在享有权利和机会方面的性别差距。</w:t>
      </w:r>
    </w:p>
    <w:p w14:paraId="61803E83"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产权组织2023年的举措旨在鼓励妇女参与国际知识产权制度，促进了可持续发展目标5各项具体目标的实现：</w:t>
      </w:r>
    </w:p>
    <w:p w14:paraId="4A4B94F6"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产权组织生成了关于妇女参与专利制度的统计数据和研究报告。2023年，产权组织发布了题为《</w:t>
      </w:r>
      <w:hyperlink r:id="rId29" w:history="1">
        <w:r w:rsidRPr="00BE595B">
          <w:rPr>
            <w:rStyle w:val="Hyperlink"/>
            <w:rFonts w:ascii="SimSun" w:hAnsi="SimSun"/>
            <w:sz w:val="21"/>
            <w:szCs w:val="21"/>
          </w:rPr>
          <w:t>全球专利申请中的性别差距</w:t>
        </w:r>
      </w:hyperlink>
      <w:r w:rsidRPr="00BE595B">
        <w:rPr>
          <w:rFonts w:ascii="SimSun" w:hAnsi="SimSun"/>
          <w:sz w:val="21"/>
          <w:szCs w:val="21"/>
        </w:rPr>
        <w:t>：二十年来的国际比较》的报告。这项工作促进实现具体目标5.5。</w:t>
      </w:r>
    </w:p>
    <w:p w14:paraId="6D4236E5"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应要求向《商标法新加坡条约》的潜在和现任成员国提供立法建议时使用中性语言。为实现具体目标5.5，此类立法援助包括就兼容性、起草实施条款或解释该国际标准的背景和应用提供咨询意见。中性语言的使用有助于产权组织努力消除法律文本中长期存在的性别偏见。</w:t>
      </w:r>
    </w:p>
    <w:p w14:paraId="73838629"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产权组织</w:t>
      </w:r>
      <w:r w:rsidRPr="001E4AB5">
        <w:rPr>
          <w:rFonts w:asciiTheme="minorEastAsia" w:eastAsiaTheme="minorEastAsia" w:hAnsiTheme="minorEastAsia"/>
          <w:sz w:val="21"/>
          <w:szCs w:val="21"/>
        </w:rPr>
        <w:t>“</w:t>
      </w:r>
      <w:r w:rsidRPr="00BE595B">
        <w:rPr>
          <w:rFonts w:ascii="SimSun" w:hAnsi="SimSun"/>
          <w:sz w:val="21"/>
          <w:szCs w:val="21"/>
        </w:rPr>
        <w:t>使命想象</w:t>
      </w:r>
      <w:r w:rsidRPr="001E4AB5">
        <w:rPr>
          <w:rFonts w:asciiTheme="minorEastAsia" w:eastAsiaTheme="minorEastAsia" w:hAnsiTheme="minorEastAsia"/>
          <w:sz w:val="21"/>
          <w:szCs w:val="21"/>
        </w:rPr>
        <w:t>”</w:t>
      </w:r>
      <w:r w:rsidRPr="00BE595B">
        <w:rPr>
          <w:rFonts w:ascii="SimSun" w:hAnsi="SimSun"/>
          <w:sz w:val="21"/>
          <w:szCs w:val="21"/>
        </w:rPr>
        <w:t>系列的最新一集重点关注女性科技，采访对象是克米索拉·博拉林瓦女士</w:t>
      </w:r>
      <w:r w:rsidRPr="001E4AB5">
        <w:rPr>
          <w:rFonts w:asciiTheme="minorEastAsia" w:eastAsiaTheme="minorEastAsia" w:hAnsiTheme="minorEastAsia"/>
          <w:sz w:val="21"/>
          <w:szCs w:val="21"/>
        </w:rPr>
        <w:t>（</w:t>
      </w:r>
      <w:r w:rsidRPr="00BE595B">
        <w:rPr>
          <w:rFonts w:ascii="SimSun" w:hAnsi="SimSun"/>
          <w:sz w:val="21"/>
          <w:szCs w:val="21"/>
        </w:rPr>
        <w:t>她发明了能够检测出早期乳腺癌的</w:t>
      </w:r>
      <w:r w:rsidRPr="001E4AB5">
        <w:rPr>
          <w:rFonts w:asciiTheme="minorEastAsia" w:eastAsiaTheme="minorEastAsia" w:hAnsiTheme="minorEastAsia"/>
          <w:sz w:val="21"/>
          <w:szCs w:val="21"/>
        </w:rPr>
        <w:t>“</w:t>
      </w:r>
      <w:r w:rsidRPr="00BE595B">
        <w:rPr>
          <w:rFonts w:ascii="SimSun" w:hAnsi="SimSun"/>
          <w:sz w:val="21"/>
          <w:szCs w:val="21"/>
        </w:rPr>
        <w:t>智能胸罩</w:t>
      </w:r>
      <w:r w:rsidRPr="001E4AB5">
        <w:rPr>
          <w:rFonts w:asciiTheme="minorEastAsia" w:eastAsiaTheme="minorEastAsia" w:hAnsiTheme="minorEastAsia"/>
          <w:sz w:val="21"/>
          <w:szCs w:val="21"/>
        </w:rPr>
        <w:t>”）</w:t>
      </w:r>
      <w:r w:rsidRPr="00BE595B">
        <w:rPr>
          <w:rFonts w:ascii="SimSun" w:hAnsi="SimSun"/>
          <w:sz w:val="21"/>
          <w:szCs w:val="21"/>
        </w:rPr>
        <w:t>和Palpa公司的创始人约瑟法·科尔特斯女士，该公司致力于在女性中传播如何通过乳房形状的淋浴海绵发现和感知异常。该访谈也促进实现具体目标5.6。</w:t>
      </w:r>
    </w:p>
    <w:p w14:paraId="0D9E6474"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WIPO学院制定了</w:t>
      </w:r>
      <w:r w:rsidRPr="001E4AB5">
        <w:rPr>
          <w:rFonts w:asciiTheme="minorEastAsia" w:eastAsiaTheme="minorEastAsia" w:hAnsiTheme="minorEastAsia"/>
          <w:sz w:val="21"/>
          <w:szCs w:val="21"/>
        </w:rPr>
        <w:t>“</w:t>
      </w:r>
      <w:r w:rsidRPr="00BE595B">
        <w:rPr>
          <w:rFonts w:ascii="SimSun" w:hAnsi="SimSun"/>
          <w:sz w:val="21"/>
          <w:szCs w:val="21"/>
        </w:rPr>
        <w:t>女性创新者袖珍指南</w:t>
      </w:r>
      <w:r w:rsidRPr="001E4AB5">
        <w:rPr>
          <w:rFonts w:asciiTheme="minorEastAsia" w:eastAsiaTheme="minorEastAsia" w:hAnsiTheme="minorEastAsia"/>
          <w:sz w:val="21"/>
          <w:szCs w:val="21"/>
        </w:rPr>
        <w:t>”</w:t>
      </w:r>
      <w:r w:rsidRPr="00BE595B">
        <w:rPr>
          <w:rFonts w:ascii="SimSun" w:hAnsi="SimSun"/>
          <w:sz w:val="21"/>
          <w:szCs w:val="21"/>
        </w:rPr>
        <w:t>，专门满足生命科学部门女性创新者和科学家的独特需求。为实现具体目标5.5和5.b，WIPO学院进一步组织了</w:t>
      </w:r>
      <w:r w:rsidRPr="001E4AB5">
        <w:rPr>
          <w:rFonts w:asciiTheme="minorEastAsia" w:eastAsiaTheme="minorEastAsia" w:hAnsiTheme="minorEastAsia"/>
          <w:sz w:val="21"/>
          <w:szCs w:val="21"/>
        </w:rPr>
        <w:t>“</w:t>
      </w:r>
      <w:r w:rsidRPr="00BE595B">
        <w:rPr>
          <w:rFonts w:ascii="SimSun" w:hAnsi="SimSun"/>
          <w:sz w:val="21"/>
          <w:szCs w:val="21"/>
        </w:rPr>
        <w:t>缩小女性数字企业家的性别差距</w:t>
      </w:r>
      <w:r w:rsidRPr="001E4AB5">
        <w:rPr>
          <w:rFonts w:asciiTheme="minorEastAsia" w:eastAsiaTheme="minorEastAsia" w:hAnsiTheme="minorEastAsia"/>
          <w:sz w:val="21"/>
          <w:szCs w:val="21"/>
        </w:rPr>
        <w:t>“</w:t>
      </w:r>
      <w:r w:rsidRPr="00BE595B">
        <w:rPr>
          <w:rFonts w:ascii="SimSun" w:hAnsi="SimSun"/>
          <w:sz w:val="21"/>
          <w:szCs w:val="21"/>
        </w:rPr>
        <w:t>培训，来自七个区域的25名女性倡导者和社区领袖从中受益。还为合作伙伴IPTI组织了两次关于女性和知识产权教育的</w:t>
      </w:r>
      <w:hyperlink r:id="rId30" w:history="1">
        <w:r w:rsidRPr="00BE595B">
          <w:rPr>
            <w:rStyle w:val="Hyperlink"/>
            <w:rFonts w:ascii="SimSun" w:hAnsi="SimSun"/>
            <w:sz w:val="21"/>
            <w:szCs w:val="21"/>
          </w:rPr>
          <w:t>圆桌会议</w:t>
        </w:r>
      </w:hyperlink>
      <w:r w:rsidRPr="00BE595B">
        <w:rPr>
          <w:rFonts w:ascii="SimSun" w:hAnsi="SimSun"/>
          <w:sz w:val="21"/>
          <w:szCs w:val="21"/>
        </w:rPr>
        <w:t>，以分享实施培训举措的最佳做法，促进实现具体目标5.1。</w:t>
      </w:r>
    </w:p>
    <w:p w14:paraId="28105334"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color w:val="000000" w:themeColor="text1"/>
          <w:sz w:val="21"/>
          <w:szCs w:val="21"/>
        </w:rPr>
      </w:pPr>
      <w:r w:rsidRPr="00BE595B">
        <w:rPr>
          <w:rFonts w:ascii="SimSun" w:hAnsi="SimSun"/>
          <w:color w:val="000000" w:themeColor="text1"/>
          <w:sz w:val="21"/>
          <w:szCs w:val="21"/>
        </w:rPr>
        <w:t>产权组织土著人民和当地社区女企业家知识产权培训、指导和牵线搭桥计划</w:t>
      </w:r>
      <w:r w:rsidRPr="001E4AB5">
        <w:rPr>
          <w:rFonts w:asciiTheme="minorEastAsia" w:eastAsiaTheme="minorEastAsia" w:hAnsiTheme="minorEastAsia"/>
          <w:color w:val="000000" w:themeColor="text1"/>
          <w:sz w:val="21"/>
          <w:szCs w:val="21"/>
        </w:rPr>
        <w:t>（</w:t>
      </w:r>
      <w:hyperlink r:id="rId31" w:history="1">
        <w:r w:rsidRPr="00BE595B">
          <w:rPr>
            <w:rStyle w:val="Hyperlink"/>
            <w:rFonts w:ascii="SimSun" w:hAnsi="SimSun"/>
            <w:sz w:val="21"/>
            <w:szCs w:val="21"/>
          </w:rPr>
          <w:t>WEP</w:t>
        </w:r>
      </w:hyperlink>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为土著人民和当地社区的女企业家提供了有关战略性地有效利用知识产权工具开展业务的培训和指导。2023-2024年WEP的培训阶段于2023年9月18日至22日在日内瓦举行，而2022-2023年WEP</w:t>
      </w:r>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针对安第斯地区</w:t>
      </w:r>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的指导和牵线搭桥阶段则在整个2023年继续进行。2023年3月6日至10日举行了中欧和波罗的海国家启动WEP</w:t>
      </w:r>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CEBS WEP</w:t>
      </w:r>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的实践讲习班，旨在支持来自15个CEBS国家当地社区的21名女企业家从事基于纺织品的传统生产和设计。WEP是与国际商标协会</w:t>
      </w:r>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INTA</w:t>
      </w:r>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、国际劳工组织</w:t>
      </w:r>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劳工组织</w:t>
      </w:r>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和国际贸易中心</w:t>
      </w:r>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ITC</w:t>
      </w:r>
      <w:r w:rsidRPr="001E4AB5">
        <w:rPr>
          <w:rFonts w:asciiTheme="minorEastAsia" w:eastAsiaTheme="minorEastAsia" w:hAnsiTheme="minorEastAsia" w:hint="eastAsia"/>
          <w:color w:val="000000" w:themeColor="text1"/>
          <w:sz w:val="21"/>
          <w:szCs w:val="21"/>
        </w:rPr>
        <w:t>）</w:t>
      </w:r>
      <w:r w:rsidRPr="00BE595B">
        <w:rPr>
          <w:rFonts w:ascii="SimSun" w:hAnsi="SimSun" w:hint="eastAsia"/>
          <w:color w:val="000000" w:themeColor="text1"/>
          <w:sz w:val="21"/>
          <w:szCs w:val="21"/>
        </w:rPr>
        <w:t>合作实施的，促进实现具体目标5.5以及具体目标4.4、4.5、4.7和8.3。</w:t>
      </w:r>
    </w:p>
    <w:p w14:paraId="6E8C13F6"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根据CDIP做出的一项决定，通过一系列关于</w:t>
      </w:r>
      <w:r w:rsidRPr="001E4AB5">
        <w:rPr>
          <w:rFonts w:asciiTheme="minorEastAsia" w:eastAsiaTheme="minorEastAsia" w:hAnsiTheme="minorEastAsia"/>
          <w:sz w:val="21"/>
          <w:szCs w:val="21"/>
        </w:rPr>
        <w:t>“</w:t>
      </w:r>
      <w:r w:rsidRPr="00BE595B">
        <w:rPr>
          <w:rFonts w:ascii="SimSun" w:hAnsi="SimSun"/>
          <w:sz w:val="21"/>
          <w:szCs w:val="21"/>
        </w:rPr>
        <w:t>缩小知识产权性别差距</w:t>
      </w:r>
      <w:r w:rsidRPr="001E4AB5">
        <w:rPr>
          <w:rFonts w:asciiTheme="minorEastAsia" w:eastAsiaTheme="minorEastAsia" w:hAnsiTheme="minorEastAsia"/>
          <w:sz w:val="21"/>
          <w:szCs w:val="21"/>
        </w:rPr>
        <w:t>”</w:t>
      </w:r>
      <w:r w:rsidRPr="00BE595B">
        <w:rPr>
          <w:rFonts w:ascii="SimSun" w:hAnsi="SimSun"/>
          <w:sz w:val="21"/>
          <w:szCs w:val="21"/>
        </w:rPr>
        <w:t>的分享会，产权组织设立了一个论坛，以提高对增强妇女权能和提高妇女在知识产权生态系统中参与度的重要性的认识。2023年10月12日举行了</w:t>
      </w:r>
      <w:r w:rsidRPr="001E4AB5">
        <w:rPr>
          <w:rFonts w:asciiTheme="minorEastAsia" w:eastAsiaTheme="minorEastAsia" w:hAnsiTheme="minorEastAsia"/>
          <w:sz w:val="21"/>
          <w:szCs w:val="21"/>
        </w:rPr>
        <w:t>“</w:t>
      </w:r>
      <w:hyperlink r:id="rId32" w:history="1">
        <w:r w:rsidRPr="00BE595B">
          <w:rPr>
            <w:rStyle w:val="Hyperlink"/>
            <w:rFonts w:ascii="SimSun" w:hAnsi="SimSun"/>
            <w:sz w:val="21"/>
            <w:szCs w:val="21"/>
          </w:rPr>
          <w:t>创意产业中的女性</w:t>
        </w:r>
      </w:hyperlink>
      <w:r w:rsidRPr="001E4AB5">
        <w:rPr>
          <w:rFonts w:asciiTheme="minorEastAsia" w:eastAsiaTheme="minorEastAsia" w:hAnsiTheme="minorEastAsia"/>
          <w:sz w:val="21"/>
          <w:szCs w:val="21"/>
        </w:rPr>
        <w:t>”</w:t>
      </w:r>
      <w:r w:rsidRPr="00BE595B">
        <w:rPr>
          <w:rFonts w:ascii="SimSun" w:hAnsi="SimSun"/>
          <w:sz w:val="21"/>
          <w:szCs w:val="21"/>
        </w:rPr>
        <w:t>分享会，促进实现具体目标5.5。小组专家包括来自</w:t>
      </w:r>
      <w:r w:rsidR="00F20D83" w:rsidRPr="00BE595B">
        <w:rPr>
          <w:rFonts w:ascii="SimSun" w:hAnsi="SimSun"/>
          <w:sz w:val="21"/>
          <w:szCs w:val="21"/>
        </w:rPr>
        <w:t>匈牙利</w:t>
      </w:r>
      <w:r w:rsidR="00F20D83" w:rsidRPr="00BE595B">
        <w:rPr>
          <w:rFonts w:ascii="SimSun" w:hAnsi="SimSun" w:hint="eastAsia"/>
          <w:sz w:val="21"/>
          <w:szCs w:val="21"/>
        </w:rPr>
        <w:t>、肯尼亚</w:t>
      </w:r>
      <w:r w:rsidR="003E47CC" w:rsidRPr="00BE595B">
        <w:rPr>
          <w:rFonts w:ascii="SimSun" w:hAnsi="SimSun" w:hint="eastAsia"/>
          <w:sz w:val="21"/>
          <w:szCs w:val="21"/>
        </w:rPr>
        <w:t>、</w:t>
      </w:r>
      <w:r w:rsidRPr="00BE595B">
        <w:rPr>
          <w:rFonts w:ascii="SimSun" w:hAnsi="SimSun"/>
          <w:sz w:val="21"/>
          <w:szCs w:val="21"/>
        </w:rPr>
        <w:t>巴基斯坦</w:t>
      </w:r>
      <w:r w:rsidR="003E47CC" w:rsidRPr="00BE595B">
        <w:rPr>
          <w:rFonts w:ascii="SimSun" w:hAnsi="SimSun" w:hint="eastAsia"/>
          <w:sz w:val="21"/>
          <w:szCs w:val="21"/>
        </w:rPr>
        <w:t>以及</w:t>
      </w:r>
      <w:r w:rsidRPr="00BE595B">
        <w:rPr>
          <w:rFonts w:ascii="SimSun" w:hAnsi="SimSun"/>
          <w:sz w:val="21"/>
          <w:szCs w:val="21"/>
        </w:rPr>
        <w:t>圣基茨和尼维斯的女性专家，强调了知识产权在促进经济增长和妇女参与创意产业方面的作用。这一系列的分享会将继续举行，讨论缩小知识产权性别差距的其他议题。</w:t>
      </w:r>
    </w:p>
    <w:p w14:paraId="42753060"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一系列知识产权和妇女创业项目旨在通过支持女企业家利用知识产权制度促进业务增长和增值，促进包容性知识产权和创业。这些量身定制的需求驱动型项目包括更广泛的商业考量，如与市场的联系、融资以及制定品牌推广和营销战略。这些项目采用培训和指导的方法，重点是通过商标申请等途径确保知识产权制度的实际应用，从而来缩小性别创新差距。因此，在巴基斯坦已提交了18份商标申请和两份外观设计申请。在巴西，该项目支持基隆博非洲裔妇女从其产品中创造价值。该项目在孟加拉国、埃及、约旦、纳米比亚和巴基斯坦进一步实施，并在伯利兹、圣卢西亚、圣文森特和格林纳丁斯四个加勒比国家启动。该项目促进实现具体目标5.1、5.5和5.a以及具体目标8.3、8.5、9.3和9.b。</w:t>
      </w:r>
    </w:p>
    <w:p w14:paraId="00736526"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2023年5月15日至17日，在卢旺达基加利举行了非洲农业综合企业妇女知识产权区域</w:t>
      </w:r>
      <w:hyperlink r:id="rId33" w:history="1">
        <w:r w:rsidRPr="00BE595B">
          <w:rPr>
            <w:rStyle w:val="Hyperlink"/>
            <w:rFonts w:ascii="SimSun" w:hAnsi="SimSun"/>
            <w:sz w:val="21"/>
            <w:szCs w:val="21"/>
          </w:rPr>
          <w:t>会议</w:t>
        </w:r>
      </w:hyperlink>
      <w:r w:rsidRPr="00BE595B">
        <w:rPr>
          <w:rFonts w:ascii="SimSun" w:hAnsi="SimSun"/>
          <w:sz w:val="21"/>
          <w:szCs w:val="21"/>
        </w:rPr>
        <w:t>。该会议为120名农业综合企业女企业家提供了提高对知识产权的认识和知识交流的平台。作为直接的后续行动，来自25个非洲国家的30名女企业家被选中参加一个为期六个月的量身定制的培训和指导项目，该项目从2023年10月16日持续至2024年4月15日。该项目旨在使这些女企业家掌握利用知识产权制度提高商业竞争力的知识。该项目促进实现具体目标5.5和5.b，以及目具体标4.4、8.3、9.2、9.b和10.2</w:t>
      </w:r>
    </w:p>
    <w:p w14:paraId="139EF1F2"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2023年6月6日至7日举行了关于</w:t>
      </w:r>
      <w:r w:rsidRPr="001E4AB5">
        <w:rPr>
          <w:rFonts w:asciiTheme="minorEastAsia" w:eastAsiaTheme="minorEastAsia" w:hAnsiTheme="minorEastAsia"/>
          <w:sz w:val="21"/>
          <w:szCs w:val="21"/>
        </w:rPr>
        <w:t>“</w:t>
      </w:r>
      <w:r w:rsidRPr="00BE595B">
        <w:rPr>
          <w:rFonts w:ascii="SimSun" w:hAnsi="SimSun"/>
          <w:sz w:val="21"/>
          <w:szCs w:val="21"/>
        </w:rPr>
        <w:t>知识产权与妇女</w:t>
      </w:r>
      <w:r w:rsidRPr="001E4AB5">
        <w:rPr>
          <w:rFonts w:asciiTheme="minorEastAsia" w:eastAsiaTheme="minorEastAsia" w:hAnsiTheme="minorEastAsia"/>
          <w:sz w:val="21"/>
          <w:szCs w:val="21"/>
        </w:rPr>
        <w:t>”</w:t>
      </w:r>
      <w:r w:rsidRPr="00BE595B">
        <w:rPr>
          <w:rFonts w:ascii="SimSun" w:hAnsi="SimSun"/>
          <w:sz w:val="21"/>
          <w:szCs w:val="21"/>
        </w:rPr>
        <w:t>的阿拉伯地区虚拟会议，旨在提高人们对知识产权在促进妇女创业方面作用的认识，为阿拉伯地区的女企业家提供实用工具，并促进这些女企业家之间建立关系网和共享知识。该会议促进实现具体目标5.5。</w:t>
      </w:r>
    </w:p>
    <w:p w14:paraId="4DC0D396"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color w:val="000000" w:themeColor="text1"/>
          <w:sz w:val="21"/>
          <w:szCs w:val="21"/>
        </w:rPr>
        <w:t>2023年10月19日至20日，在阿尔巴尼亚地拉那举行了关于</w:t>
      </w:r>
      <w:r w:rsidRPr="001E4AB5">
        <w:rPr>
          <w:rFonts w:asciiTheme="minorEastAsia" w:eastAsiaTheme="minorEastAsia" w:hAnsiTheme="minorEastAsia"/>
          <w:color w:val="000000" w:themeColor="text1"/>
          <w:sz w:val="21"/>
          <w:szCs w:val="21"/>
        </w:rPr>
        <w:t>“</w:t>
      </w:r>
      <w:r w:rsidRPr="00BE595B">
        <w:rPr>
          <w:rFonts w:ascii="SimSun" w:hAnsi="SimSun"/>
          <w:color w:val="000000" w:themeColor="text1"/>
          <w:sz w:val="21"/>
          <w:szCs w:val="21"/>
        </w:rPr>
        <w:t>传统、创新、创造和创业中的妇女</w:t>
      </w:r>
      <w:r w:rsidRPr="001E4AB5">
        <w:rPr>
          <w:rFonts w:asciiTheme="minorEastAsia" w:eastAsiaTheme="minorEastAsia" w:hAnsiTheme="minorEastAsia"/>
          <w:color w:val="000000" w:themeColor="text1"/>
          <w:sz w:val="21"/>
          <w:szCs w:val="21"/>
        </w:rPr>
        <w:t>”</w:t>
      </w:r>
      <w:r w:rsidRPr="00BE595B">
        <w:rPr>
          <w:rFonts w:ascii="SimSun" w:hAnsi="SimSun"/>
          <w:color w:val="000000" w:themeColor="text1"/>
          <w:sz w:val="21"/>
          <w:szCs w:val="21"/>
        </w:rPr>
        <w:t>的国际会议，旨在通过审视挑战、最新发展和趋势，促进讨论妇女在知识产权、创新、创造和创业中的作用。该会议还讨论了阿尔巴尼亚关于知识产权教育和地理标志的新举措，促进实现具体目标5.5。</w:t>
      </w:r>
    </w:p>
    <w:p w14:paraId="0E0355FB"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color w:val="000000" w:themeColor="text1"/>
          <w:sz w:val="21"/>
          <w:szCs w:val="21"/>
        </w:rPr>
        <w:t>2023年11月22日以虚拟方式举行了另一场关于</w:t>
      </w:r>
      <w:r w:rsidRPr="001E4AB5">
        <w:rPr>
          <w:rFonts w:asciiTheme="minorEastAsia" w:eastAsiaTheme="minorEastAsia" w:hAnsiTheme="minorEastAsia"/>
          <w:color w:val="000000" w:themeColor="text1"/>
          <w:sz w:val="21"/>
          <w:szCs w:val="21"/>
        </w:rPr>
        <w:t>“</w:t>
      </w:r>
      <w:r w:rsidRPr="00BE595B">
        <w:rPr>
          <w:rFonts w:ascii="SimSun" w:hAnsi="SimSun"/>
          <w:color w:val="000000" w:themeColor="text1"/>
          <w:sz w:val="21"/>
          <w:szCs w:val="21"/>
        </w:rPr>
        <w:t>创新和商业中的妇女：激励、参与、投资</w:t>
      </w:r>
      <w:r w:rsidRPr="001E4AB5">
        <w:rPr>
          <w:rFonts w:asciiTheme="minorEastAsia" w:eastAsiaTheme="minorEastAsia" w:hAnsiTheme="minorEastAsia"/>
          <w:color w:val="000000" w:themeColor="text1"/>
          <w:sz w:val="21"/>
          <w:szCs w:val="21"/>
        </w:rPr>
        <w:t>”</w:t>
      </w:r>
      <w:r w:rsidRPr="00BE595B">
        <w:rPr>
          <w:rFonts w:ascii="SimSun" w:hAnsi="SimSun"/>
          <w:color w:val="000000" w:themeColor="text1"/>
          <w:sz w:val="21"/>
          <w:szCs w:val="21"/>
        </w:rPr>
        <w:t>的国际会议，会议探讨了妇女在知识产权、创新、创造和创业中的多方面作用，特别关注其所面临的挑战和可获得的机会。该会议是与摩尔多瓦共和国国家知识产权局图书馆</w:t>
      </w:r>
      <w:r w:rsidRPr="001E4AB5">
        <w:rPr>
          <w:rFonts w:asciiTheme="minorEastAsia" w:eastAsiaTheme="minorEastAsia" w:hAnsiTheme="minorEastAsia"/>
          <w:color w:val="000000" w:themeColor="text1"/>
          <w:sz w:val="21"/>
          <w:szCs w:val="21"/>
        </w:rPr>
        <w:t>（</w:t>
      </w:r>
      <w:r w:rsidRPr="00BE595B">
        <w:rPr>
          <w:rFonts w:ascii="SimSun" w:hAnsi="SimSun"/>
          <w:color w:val="000000" w:themeColor="text1"/>
          <w:sz w:val="21"/>
          <w:szCs w:val="21"/>
        </w:rPr>
        <w:t>AGEPI</w:t>
      </w:r>
      <w:r w:rsidRPr="001E4AB5">
        <w:rPr>
          <w:rFonts w:asciiTheme="minorEastAsia" w:eastAsiaTheme="minorEastAsia" w:hAnsiTheme="minorEastAsia"/>
          <w:color w:val="000000" w:themeColor="text1"/>
          <w:sz w:val="21"/>
          <w:szCs w:val="21"/>
        </w:rPr>
        <w:t>）</w:t>
      </w:r>
      <w:r w:rsidRPr="00BE595B">
        <w:rPr>
          <w:rFonts w:ascii="SimSun" w:hAnsi="SimSun"/>
          <w:color w:val="000000" w:themeColor="text1"/>
          <w:sz w:val="21"/>
          <w:szCs w:val="21"/>
        </w:rPr>
        <w:t>合作组织的，促进实现具体目标5.5。</w:t>
      </w:r>
    </w:p>
    <w:p w14:paraId="56586A4E"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在妇女创新者和企业家项目下，在越南、斯里兰卡和印度尼西亚制定了针对具体国家的项目，以应对当地女性创新者和企业家在获得知识产权教育和服务方面面临的挑战。因此，这些项目旨在使女性创新者和企业家掌握必要的知识产权知识和技能，并建立一个由女性创新者和企业家、女性企业、支持团体、国家机构和创新机构组成的非正式网络。在2022年10月至12月和2023年3月至9月期间，共举办了40次诊所活动。该项目是与ITC合作实施的。</w:t>
      </w:r>
    </w:p>
    <w:p w14:paraId="42460811"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在孟加拉国，产权组织协助妇女领导的小规模生产商为其</w:t>
      </w:r>
      <w:r w:rsidRPr="001E4AB5">
        <w:rPr>
          <w:rFonts w:asciiTheme="minorEastAsia" w:eastAsiaTheme="minorEastAsia" w:hAnsiTheme="minorEastAsia"/>
          <w:sz w:val="21"/>
          <w:szCs w:val="21"/>
        </w:rPr>
        <w:t>“</w:t>
      </w:r>
      <w:hyperlink r:id="rId34" w:history="1">
        <w:r w:rsidRPr="00BE595B">
          <w:rPr>
            <w:rStyle w:val="Hyperlink"/>
            <w:rFonts w:ascii="SimSun" w:hAnsi="SimSun"/>
            <w:sz w:val="21"/>
            <w:szCs w:val="21"/>
          </w:rPr>
          <w:t>朗布尔·沙塔兰吉</w:t>
        </w:r>
      </w:hyperlink>
      <w:r w:rsidRPr="001E4AB5">
        <w:rPr>
          <w:rFonts w:asciiTheme="minorEastAsia" w:eastAsiaTheme="minorEastAsia" w:hAnsiTheme="minorEastAsia"/>
          <w:sz w:val="21"/>
          <w:szCs w:val="21"/>
        </w:rPr>
        <w:t>”</w:t>
      </w:r>
      <w:r w:rsidRPr="00BE595B">
        <w:rPr>
          <w:rFonts w:ascii="SimSun" w:hAnsi="SimSun"/>
          <w:sz w:val="21"/>
          <w:szCs w:val="21"/>
        </w:rPr>
        <w:t>地毯开发和设计集体商标。韩国信托基金资助的项目与韩国发明振兴会合作实施，惠及100,000名编织者，并促进实现具体目标5.5。</w:t>
      </w:r>
    </w:p>
    <w:p w14:paraId="6E65B8D8"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在柬埔寨，产权组织协助当地一家玩具制造公司</w:t>
      </w:r>
      <w:hyperlink r:id="rId35" w:history="1">
        <w:r w:rsidRPr="00BE595B">
          <w:rPr>
            <w:rStyle w:val="Hyperlink"/>
            <w:rFonts w:ascii="SimSun" w:hAnsi="SimSun"/>
            <w:sz w:val="21"/>
            <w:szCs w:val="21"/>
          </w:rPr>
          <w:t>Cambodia Knits</w:t>
        </w:r>
      </w:hyperlink>
      <w:r w:rsidRPr="00BE595B">
        <w:rPr>
          <w:rFonts w:ascii="SimSun" w:hAnsi="SimSun"/>
          <w:sz w:val="21"/>
          <w:szCs w:val="21"/>
        </w:rPr>
        <w:t>制定基于知识产权的业务增长和发展战略。通过技能培训和教育，柬埔寨被边缘化的妇女获得了谋生的能力。在产权组织的指导下，Cambodia Knits利用知识产权在市场上进行战略定位，并利用环保材料和可持续生产推动产品创新。这一成功事例也促进实现具体目标5.5和8.1。</w:t>
      </w:r>
    </w:p>
    <w:p w14:paraId="45F1EEBB"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知识产权、创新和性别平等区域计划旨在在以性别为导向的公共政策和知识产权生态系统之间建立联系：i)鼓励性别平等，并通过促进妇女的创新潜力为其赋能；ii)在拉丁美洲地区各国家知识产权局中实施对性别问题有敏感认识的管理做法。2023年4月19日至23日，在哥斯达黎加圣何塞举行了一次区域会议，介绍了区域计划的发展情况和未来行动。区域会议吸引了13个国家知识产权局的负责人、哥斯达黎加政府的高级代表、学术和机构部门以及其他国际组织的代表参加。</w:t>
      </w:r>
    </w:p>
    <w:p w14:paraId="236E429D"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科学、技术、工程和数学</w:t>
      </w:r>
      <w:r w:rsidRPr="001E4AB5">
        <w:rPr>
          <w:rFonts w:asciiTheme="minorEastAsia" w:eastAsiaTheme="minorEastAsia" w:hAnsiTheme="minorEastAsia"/>
          <w:sz w:val="21"/>
          <w:szCs w:val="21"/>
        </w:rPr>
        <w:t>（</w:t>
      </w:r>
      <w:r w:rsidRPr="00BE595B">
        <w:rPr>
          <w:rFonts w:ascii="SimSun" w:hAnsi="SimSun"/>
          <w:sz w:val="21"/>
          <w:szCs w:val="21"/>
        </w:rPr>
        <w:t>STEM</w:t>
      </w:r>
      <w:r w:rsidRPr="001E4AB5">
        <w:rPr>
          <w:rFonts w:asciiTheme="minorEastAsia" w:eastAsiaTheme="minorEastAsia" w:hAnsiTheme="minorEastAsia"/>
          <w:sz w:val="21"/>
          <w:szCs w:val="21"/>
        </w:rPr>
        <w:t>）</w:t>
      </w:r>
      <w:r w:rsidRPr="00BE595B">
        <w:rPr>
          <w:rFonts w:ascii="SimSun" w:hAnsi="SimSun"/>
          <w:sz w:val="21"/>
          <w:szCs w:val="21"/>
        </w:rPr>
        <w:t>职业妇女知识产权项目旨在培训和指导从事STEM职业的女企业家将知识产权管理和商业化纳入其商业发展和创新计划。来自智利、哥伦比亚、多米尼加共和国、墨西哥和秘鲁的83名妇女从该项目中受益，来自阿根廷、哥斯达黎加、秘鲁和乌拉圭的40名女企业家被选中参加将于2024年开始的第三期项目。该项目通过提供优质教育以促进性别平等，促进实现具体目标5.1、5.5、5.b以及具体目标9.5、9.b和17.9。</w:t>
      </w:r>
    </w:p>
    <w:p w14:paraId="5008C20D"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1E4AB5">
        <w:rPr>
          <w:rFonts w:asciiTheme="minorEastAsia" w:eastAsiaTheme="minorEastAsia" w:hAnsiTheme="minorEastAsia"/>
          <w:sz w:val="21"/>
          <w:szCs w:val="21"/>
        </w:rPr>
        <w:t>“</w:t>
      </w:r>
      <w:r w:rsidRPr="00BE595B">
        <w:rPr>
          <w:rFonts w:ascii="SimSun" w:hAnsi="SimSun"/>
          <w:sz w:val="21"/>
          <w:szCs w:val="21"/>
        </w:rPr>
        <w:t>女企业家知识产权：</w:t>
      </w:r>
      <w:bookmarkStart w:id="6" w:name="_Hlk161045459"/>
      <w:r w:rsidRPr="00BE595B">
        <w:rPr>
          <w:rFonts w:ascii="SimSun" w:hAnsi="SimSun"/>
          <w:sz w:val="21"/>
          <w:szCs w:val="21"/>
        </w:rPr>
        <w:t>通过知识产权创造价值</w:t>
      </w:r>
      <w:bookmarkEnd w:id="6"/>
      <w:r w:rsidRPr="001E4AB5">
        <w:rPr>
          <w:rFonts w:asciiTheme="minorEastAsia" w:eastAsiaTheme="minorEastAsia" w:hAnsiTheme="minorEastAsia"/>
          <w:sz w:val="21"/>
          <w:szCs w:val="21"/>
        </w:rPr>
        <w:t>”</w:t>
      </w:r>
      <w:r w:rsidRPr="00BE595B">
        <w:rPr>
          <w:rFonts w:ascii="SimSun" w:hAnsi="SimSun"/>
          <w:sz w:val="21"/>
          <w:szCs w:val="21"/>
        </w:rPr>
        <w:t>试点项目于2022年9月至2023年4月实施，旨在通过提高阿根廷、萨尔瓦多、巴拿马和巴拉圭40名女企业家对知识产权保护及其战略性使用的重要作用的认识，使她们掌握业务发展所需的知识产权工具和技能。在牙买加，该项目惠及29名女企业家，并促成了与美洲开发银行</w:t>
      </w:r>
      <w:r w:rsidRPr="001E4AB5">
        <w:rPr>
          <w:rFonts w:asciiTheme="minorEastAsia" w:eastAsiaTheme="minorEastAsia" w:hAnsiTheme="minorEastAsia"/>
          <w:sz w:val="21"/>
          <w:szCs w:val="21"/>
        </w:rPr>
        <w:t>（</w:t>
      </w:r>
      <w:r w:rsidRPr="00BE595B">
        <w:rPr>
          <w:rFonts w:ascii="SimSun" w:hAnsi="SimSun"/>
          <w:sz w:val="21"/>
          <w:szCs w:val="21"/>
        </w:rPr>
        <w:t>IDB</w:t>
      </w:r>
      <w:r w:rsidRPr="001E4AB5">
        <w:rPr>
          <w:rFonts w:asciiTheme="minorEastAsia" w:eastAsiaTheme="minorEastAsia" w:hAnsiTheme="minorEastAsia"/>
          <w:sz w:val="21"/>
          <w:szCs w:val="21"/>
        </w:rPr>
        <w:t>）</w:t>
      </w:r>
      <w:r w:rsidRPr="00BE595B">
        <w:rPr>
          <w:rFonts w:ascii="SimSun" w:hAnsi="SimSun"/>
          <w:sz w:val="21"/>
          <w:szCs w:val="21"/>
        </w:rPr>
        <w:t>和牙买加开发银行</w:t>
      </w:r>
      <w:r w:rsidRPr="001E4AB5">
        <w:rPr>
          <w:rFonts w:asciiTheme="minorEastAsia" w:eastAsiaTheme="minorEastAsia" w:hAnsiTheme="minorEastAsia"/>
          <w:sz w:val="21"/>
          <w:szCs w:val="21"/>
        </w:rPr>
        <w:t>（</w:t>
      </w:r>
      <w:r w:rsidRPr="00BE595B">
        <w:rPr>
          <w:rFonts w:ascii="SimSun" w:hAnsi="SimSun"/>
          <w:sz w:val="21"/>
          <w:szCs w:val="21"/>
        </w:rPr>
        <w:t>DBJ</w:t>
      </w:r>
      <w:r w:rsidRPr="001E4AB5">
        <w:rPr>
          <w:rFonts w:asciiTheme="minorEastAsia" w:eastAsiaTheme="minorEastAsia" w:hAnsiTheme="minorEastAsia"/>
          <w:sz w:val="21"/>
          <w:szCs w:val="21"/>
        </w:rPr>
        <w:t>）</w:t>
      </w:r>
      <w:r w:rsidRPr="00BE595B">
        <w:rPr>
          <w:rFonts w:ascii="SimSun" w:hAnsi="SimSun"/>
          <w:sz w:val="21"/>
          <w:szCs w:val="21"/>
        </w:rPr>
        <w:t>的合作，为女企业家提供融资渠道。</w:t>
      </w:r>
    </w:p>
    <w:p w14:paraId="3006FB6A" w14:textId="77777777"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2023年12月11日至13日，在多米尼加共和国圣多明各举行了</w:t>
      </w:r>
      <w:r w:rsidRPr="001E4AB5">
        <w:rPr>
          <w:rFonts w:asciiTheme="minorEastAsia" w:eastAsiaTheme="minorEastAsia" w:hAnsiTheme="minorEastAsia"/>
          <w:sz w:val="21"/>
          <w:szCs w:val="21"/>
        </w:rPr>
        <w:t>“</w:t>
      </w:r>
      <w:r w:rsidRPr="00BE595B">
        <w:rPr>
          <w:rFonts w:ascii="SimSun" w:hAnsi="SimSun"/>
          <w:sz w:val="21"/>
          <w:szCs w:val="21"/>
        </w:rPr>
        <w:t>知识产权助力从事STEM职业的女性和女企业家</w:t>
      </w:r>
      <w:r w:rsidRPr="001E4AB5">
        <w:rPr>
          <w:rFonts w:asciiTheme="minorEastAsia" w:eastAsiaTheme="minorEastAsia" w:hAnsiTheme="minorEastAsia"/>
          <w:sz w:val="21"/>
          <w:szCs w:val="21"/>
        </w:rPr>
        <w:t>”</w:t>
      </w:r>
      <w:r w:rsidRPr="00BE595B">
        <w:rPr>
          <w:rFonts w:ascii="SimSun" w:hAnsi="SimSun"/>
          <w:sz w:val="21"/>
          <w:szCs w:val="21"/>
        </w:rPr>
        <w:t>地区论坛，旨在分享经验，并在上述拉丁美洲和加勒比地区项目中已进入指导阶段的25名女企业家之间建立一个知识产权领域的妇女社区网络。该论坛还为参加者提供了就项目的价值和方法提供反馈的机会。</w:t>
      </w:r>
    </w:p>
    <w:p w14:paraId="57CFA2F0" w14:textId="3837E40F"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2021年，智利、</w:t>
      </w:r>
      <w:r w:rsidR="00673AED" w:rsidRPr="00BE595B">
        <w:rPr>
          <w:rFonts w:ascii="SimSun" w:hAnsi="SimSun"/>
          <w:sz w:val="21"/>
          <w:szCs w:val="21"/>
        </w:rPr>
        <w:t>哥伦比亚</w:t>
      </w:r>
      <w:r w:rsidR="00673AED" w:rsidRPr="00BE595B">
        <w:rPr>
          <w:rFonts w:ascii="SimSun" w:hAnsi="SimSun" w:hint="eastAsia"/>
          <w:sz w:val="21"/>
          <w:szCs w:val="21"/>
        </w:rPr>
        <w:t>、</w:t>
      </w:r>
      <w:r w:rsidRPr="00BE595B">
        <w:rPr>
          <w:rFonts w:ascii="SimSun" w:hAnsi="SimSun"/>
          <w:sz w:val="21"/>
          <w:szCs w:val="21"/>
        </w:rPr>
        <w:t>哥斯达黎加、</w:t>
      </w:r>
      <w:r w:rsidR="00673AED" w:rsidRPr="00BE595B">
        <w:rPr>
          <w:rFonts w:ascii="SimSun" w:hAnsi="SimSun"/>
          <w:sz w:val="21"/>
          <w:szCs w:val="21"/>
        </w:rPr>
        <w:t>秘鲁</w:t>
      </w:r>
      <w:r w:rsidRPr="00BE595B">
        <w:rPr>
          <w:rFonts w:ascii="SimSun" w:hAnsi="SimSun"/>
          <w:sz w:val="21"/>
          <w:szCs w:val="21"/>
        </w:rPr>
        <w:t>的知识产权局与作为荣誉成员的产权组织签署了一份谅解备忘录</w:t>
      </w:r>
      <w:r w:rsidRPr="001E4AB5">
        <w:rPr>
          <w:rFonts w:asciiTheme="minorEastAsia" w:eastAsiaTheme="minorEastAsia" w:hAnsiTheme="minorEastAsia"/>
          <w:sz w:val="21"/>
          <w:szCs w:val="21"/>
        </w:rPr>
        <w:t>（</w:t>
      </w:r>
      <w:r w:rsidRPr="00BE595B">
        <w:rPr>
          <w:rFonts w:ascii="SimSun" w:hAnsi="SimSun"/>
          <w:sz w:val="21"/>
          <w:szCs w:val="21"/>
        </w:rPr>
        <w:t>MOU</w:t>
      </w:r>
      <w:r w:rsidRPr="001E4AB5">
        <w:rPr>
          <w:rFonts w:asciiTheme="minorEastAsia" w:eastAsiaTheme="minorEastAsia" w:hAnsiTheme="minorEastAsia"/>
          <w:sz w:val="21"/>
          <w:szCs w:val="21"/>
        </w:rPr>
        <w:t>）</w:t>
      </w:r>
      <w:r w:rsidRPr="00BE595B">
        <w:rPr>
          <w:rFonts w:ascii="SimSun" w:hAnsi="SimSun"/>
          <w:sz w:val="21"/>
          <w:szCs w:val="21"/>
        </w:rPr>
        <w:t>，旨在建立拉丁美洲知识产权和性别网络，以促进知识产权领域的性别平等。2023年，该网络共计13个成员，2022年加入了阿根廷、巴西、多米尼加共和国、厄瓜多尔、墨西哥和乌拉圭的知识产权局，随后在2023年加入了古巴、巴拿马和巴拉圭的知识产权局。</w:t>
      </w:r>
    </w:p>
    <w:p w14:paraId="5689B08A" w14:textId="5334DFF3" w:rsidR="0027157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在2023年3月8日国际妇女节日举办了</w:t>
      </w:r>
      <w:r w:rsidRPr="001E4AB5">
        <w:rPr>
          <w:rFonts w:asciiTheme="minorEastAsia" w:eastAsiaTheme="minorEastAsia" w:hAnsiTheme="minorEastAsia"/>
          <w:sz w:val="21"/>
          <w:szCs w:val="21"/>
        </w:rPr>
        <w:t>“</w:t>
      </w:r>
      <w:r w:rsidRPr="00BE595B">
        <w:rPr>
          <w:rFonts w:ascii="SimSun" w:hAnsi="SimSun"/>
          <w:sz w:val="21"/>
          <w:szCs w:val="21"/>
        </w:rPr>
        <w:t>妇女与知识产权：国际对话</w:t>
      </w:r>
      <w:r w:rsidRPr="001E4AB5">
        <w:rPr>
          <w:rFonts w:asciiTheme="minorEastAsia" w:eastAsiaTheme="minorEastAsia" w:hAnsiTheme="minorEastAsia"/>
          <w:sz w:val="21"/>
          <w:szCs w:val="21"/>
        </w:rPr>
        <w:t>”</w:t>
      </w:r>
      <w:r w:rsidRPr="00BE595B">
        <w:rPr>
          <w:rFonts w:ascii="SimSun" w:hAnsi="SimSun"/>
          <w:sz w:val="21"/>
          <w:szCs w:val="21"/>
        </w:rPr>
        <w:t>。这一活动吸引了360名参与者，旨在为致力于减少性别不平等的倡议创建一个交流经验和推广最佳做法的论坛。</w:t>
      </w:r>
    </w:p>
    <w:p w14:paraId="046E454A" w14:textId="53AAB25E" w:rsidR="002A674D" w:rsidRPr="00BE595B" w:rsidRDefault="002F0718" w:rsidP="00433470">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BE595B">
        <w:rPr>
          <w:rFonts w:ascii="SimSun" w:hAnsi="SimSun"/>
          <w:sz w:val="21"/>
          <w:szCs w:val="21"/>
        </w:rPr>
        <w:t>在主题为</w:t>
      </w:r>
      <w:r w:rsidRPr="001E4AB5">
        <w:rPr>
          <w:rFonts w:asciiTheme="minorEastAsia" w:eastAsiaTheme="minorEastAsia" w:hAnsiTheme="minorEastAsia"/>
          <w:sz w:val="21"/>
          <w:szCs w:val="21"/>
        </w:rPr>
        <w:t>“</w:t>
      </w:r>
      <w:r w:rsidRPr="00BE595B">
        <w:rPr>
          <w:rFonts w:ascii="SimSun" w:hAnsi="SimSun"/>
          <w:sz w:val="21"/>
          <w:szCs w:val="21"/>
        </w:rPr>
        <w:t>知识产权中的女性：加速创新和创造</w:t>
      </w:r>
      <w:r w:rsidRPr="001E4AB5">
        <w:rPr>
          <w:rFonts w:asciiTheme="minorEastAsia" w:eastAsiaTheme="minorEastAsia" w:hAnsiTheme="minorEastAsia"/>
          <w:sz w:val="21"/>
          <w:szCs w:val="21"/>
        </w:rPr>
        <w:t>”</w:t>
      </w:r>
      <w:r w:rsidRPr="00BE595B">
        <w:rPr>
          <w:rFonts w:ascii="SimSun" w:hAnsi="SimSun"/>
          <w:sz w:val="21"/>
          <w:szCs w:val="21"/>
        </w:rPr>
        <w:t>的2023年世界知识产权日，在巴西举办了三场促进性别平等的活动，包括STEM职业女性圆桌会议、关于女大学生创作的技术和艺术的全天展览，以及激励女生考虑从事STEM职业的社区活动。此外，产权组织还参加了与非洲、亚洲、拉丁美洲和北美洲知识产权领域女性领导人的在线</w:t>
      </w:r>
      <w:r w:rsidRPr="001E4AB5">
        <w:rPr>
          <w:rFonts w:asciiTheme="minorEastAsia" w:eastAsiaTheme="minorEastAsia" w:hAnsiTheme="minorEastAsia"/>
          <w:sz w:val="21"/>
          <w:szCs w:val="21"/>
        </w:rPr>
        <w:t>（</w:t>
      </w:r>
      <w:r w:rsidRPr="00BE595B">
        <w:rPr>
          <w:rFonts w:ascii="SimSun" w:hAnsi="SimSun"/>
          <w:sz w:val="21"/>
          <w:szCs w:val="21"/>
        </w:rPr>
        <w:t>YouTube</w:t>
      </w:r>
      <w:r w:rsidRPr="001E4AB5">
        <w:rPr>
          <w:rFonts w:asciiTheme="minorEastAsia" w:eastAsiaTheme="minorEastAsia" w:hAnsiTheme="minorEastAsia"/>
          <w:sz w:val="21"/>
          <w:szCs w:val="21"/>
        </w:rPr>
        <w:t>）</w:t>
      </w:r>
      <w:r w:rsidRPr="00BE595B">
        <w:rPr>
          <w:rFonts w:ascii="SimSun" w:hAnsi="SimSun"/>
          <w:sz w:val="21"/>
          <w:szCs w:val="21"/>
        </w:rPr>
        <w:t>炉边谈话。这些活动促进实现具体目标5.5。</w:t>
      </w:r>
    </w:p>
    <w:p w14:paraId="5C1BBE9B"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可持续发展目标6：为所有人提供水和环境卫生并对其进行可持续管理</w:t>
      </w:r>
    </w:p>
    <w:p w14:paraId="030233DF" w14:textId="7B4689A7" w:rsidR="002A674D"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全球挑战和伙伴关系</w:t>
      </w:r>
      <w:r w:rsidRPr="00BE595B">
        <w:rPr>
          <w:rFonts w:ascii="SimSun" w:hAnsi="SimSun"/>
          <w:sz w:val="21"/>
          <w:szCs w:val="21"/>
        </w:rPr>
        <w:t>领域，截至2023年底，WIPO GREEN创新技术和需求数据库的</w:t>
      </w:r>
      <w:hyperlink r:id="rId36" w:history="1">
        <w:r w:rsidRPr="00BE595B">
          <w:rPr>
            <w:rStyle w:val="Hyperlink"/>
            <w:rFonts w:ascii="SimSun" w:hAnsi="SimSun"/>
            <w:sz w:val="21"/>
            <w:szCs w:val="21"/>
          </w:rPr>
          <w:t>水资源部分</w:t>
        </w:r>
      </w:hyperlink>
      <w:r w:rsidRPr="00BE595B">
        <w:rPr>
          <w:rFonts w:ascii="SimSun" w:hAnsi="SimSun"/>
          <w:sz w:val="21"/>
          <w:szCs w:val="21"/>
        </w:rPr>
        <w:t>有3,307个条目。关于在塔吉克斯坦部署绿色技术以更好地获得水资源的WIPO GREEN加速项目于2023年12月开始实施。该项目侧重通过促进寻找绿色解决方案的实体与相应的潜在技术提供商之间的切实联系，为塔吉克斯坦当地社区提供安全和负担得起的清洁水。这些活动促进实现具体目标6.a。</w:t>
      </w:r>
    </w:p>
    <w:p w14:paraId="64E2CB0E"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可持续发展目标7：确保人人获得负担得起的、可靠和可持续的现代能源</w:t>
      </w:r>
    </w:p>
    <w:p w14:paraId="46D030D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全球挑战和伙伴关系</w:t>
      </w:r>
      <w:r w:rsidRPr="00BE595B">
        <w:rPr>
          <w:rFonts w:ascii="SimSun" w:hAnsi="SimSun"/>
          <w:sz w:val="21"/>
          <w:szCs w:val="21"/>
        </w:rPr>
        <w:t>领域</w:t>
      </w:r>
      <w:r w:rsidRPr="00BE595B">
        <w:rPr>
          <w:rFonts w:ascii="SimSun" w:hAnsi="SimSun" w:hint="eastAsia"/>
          <w:sz w:val="21"/>
          <w:szCs w:val="21"/>
        </w:rPr>
        <w:t>，关于印度尼西亚</w:t>
      </w:r>
      <w:hyperlink r:id="rId37" w:history="1">
        <w:r w:rsidRPr="00BE595B">
          <w:rPr>
            <w:rStyle w:val="Hyperlink"/>
            <w:rFonts w:ascii="SimSun" w:hAnsi="SimSun"/>
            <w:sz w:val="21"/>
            <w:szCs w:val="21"/>
          </w:rPr>
          <w:t>棕榈油加工厂</w:t>
        </w:r>
      </w:hyperlink>
      <w:r w:rsidRPr="00BE595B">
        <w:rPr>
          <w:rFonts w:ascii="SimSun" w:hAnsi="SimSun"/>
          <w:sz w:val="21"/>
          <w:szCs w:val="21"/>
        </w:rPr>
        <w:t>废水处理及价值化解决方案的WIPO GREEN加速项目于2023年继续开展。印度尼西亚拥有600多家棕榈油加工厂，是世界上最大的</w:t>
      </w:r>
      <w:r w:rsidRPr="00BE595B">
        <w:rPr>
          <w:rFonts w:ascii="SimSun" w:hAnsi="SimSun"/>
          <w:sz w:val="21"/>
          <w:szCs w:val="21"/>
          <w:shd w:val="clear" w:color="auto" w:fill="FFFFFF"/>
        </w:rPr>
        <w:t>棕榈油生产国。棕榈油厂废水</w:t>
      </w:r>
      <w:r w:rsidRPr="001E4AB5">
        <w:rPr>
          <w:rFonts w:asciiTheme="minorEastAsia" w:eastAsiaTheme="minorEastAsia" w:hAnsiTheme="minorEastAsia"/>
          <w:sz w:val="21"/>
          <w:szCs w:val="21"/>
          <w:shd w:val="clear" w:color="auto" w:fill="FFFFFF"/>
        </w:rPr>
        <w:t>（</w:t>
      </w:r>
      <w:r w:rsidRPr="00BE595B">
        <w:rPr>
          <w:rFonts w:ascii="SimSun" w:hAnsi="SimSun"/>
          <w:sz w:val="21"/>
          <w:szCs w:val="21"/>
          <w:shd w:val="clear" w:color="auto" w:fill="FFFFFF"/>
        </w:rPr>
        <w:t>POME</w:t>
      </w:r>
      <w:r w:rsidRPr="001E4AB5">
        <w:rPr>
          <w:rFonts w:asciiTheme="minorEastAsia" w:eastAsiaTheme="minorEastAsia" w:hAnsiTheme="minorEastAsia"/>
          <w:sz w:val="21"/>
          <w:szCs w:val="21"/>
          <w:shd w:val="clear" w:color="auto" w:fill="FFFFFF"/>
        </w:rPr>
        <w:t>）</w:t>
      </w:r>
      <w:r w:rsidRPr="00BE595B">
        <w:rPr>
          <w:rFonts w:ascii="SimSun" w:hAnsi="SimSun"/>
          <w:sz w:val="21"/>
          <w:szCs w:val="21"/>
          <w:shd w:val="clear" w:color="auto" w:fill="FFFFFF"/>
        </w:rPr>
        <w:t>是棕榈油生产的副产品之一，该废水会排放大量强效温室气体甲烷。然而，甲烷含量在沼气生产和其他环境友好型用途方面有很大潜力。</w:t>
      </w:r>
      <w:r w:rsidRPr="00BE595B">
        <w:rPr>
          <w:rFonts w:ascii="SimSun" w:hAnsi="SimSun"/>
          <w:sz w:val="21"/>
          <w:szCs w:val="21"/>
        </w:rPr>
        <w:t>为了展示处理棕榈油加工厂废水的可行方案，WIPO GREEN目录公布了棕榈油加工厂废水中的环保技术。作为关于</w:t>
      </w:r>
      <w:hyperlink r:id="rId38" w:history="1">
        <w:r w:rsidRPr="00BE595B">
          <w:rPr>
            <w:rStyle w:val="Hyperlink"/>
            <w:rFonts w:ascii="SimSun" w:hAnsi="SimSun"/>
            <w:sz w:val="21"/>
            <w:szCs w:val="21"/>
          </w:rPr>
          <w:t>巴西</w:t>
        </w:r>
      </w:hyperlink>
      <w:r w:rsidRPr="00BE595B">
        <w:rPr>
          <w:rFonts w:ascii="SimSun" w:hAnsi="SimSun"/>
          <w:sz w:val="21"/>
          <w:szCs w:val="21"/>
        </w:rPr>
        <w:t>气候智能型农业的WIPO GREEN加速项目的组成部分，WIPO Green</w:t>
      </w:r>
      <w:r w:rsidRPr="00BE595B">
        <w:rPr>
          <w:rFonts w:ascii="SimSun" w:hAnsi="SimSun"/>
          <w:sz w:val="21"/>
          <w:szCs w:val="21"/>
          <w:shd w:val="clear" w:color="auto" w:fill="FFFFFF"/>
        </w:rPr>
        <w:t>目录</w:t>
      </w:r>
      <w:r w:rsidRPr="00BE595B">
        <w:rPr>
          <w:rFonts w:ascii="SimSun" w:hAnsi="SimSun"/>
          <w:sz w:val="21"/>
          <w:szCs w:val="21"/>
        </w:rPr>
        <w:t>还载有已确定的与农业可再生能源有关的部分需求和技术。</w:t>
      </w:r>
      <w:r w:rsidRPr="00BE595B">
        <w:rPr>
          <w:rFonts w:ascii="SimSun" w:hAnsi="SimSun"/>
          <w:sz w:val="21"/>
          <w:szCs w:val="21"/>
          <w:shd w:val="clear" w:color="auto" w:fill="FFFFFF"/>
        </w:rPr>
        <w:t>此外，WIPO GREEN</w:t>
      </w:r>
      <w:r w:rsidRPr="00BE595B">
        <w:rPr>
          <w:rFonts w:ascii="SimSun" w:hAnsi="SimSun"/>
          <w:sz w:val="21"/>
          <w:szCs w:val="21"/>
        </w:rPr>
        <w:t>创新技术和需求数据库</w:t>
      </w:r>
      <w:r w:rsidRPr="00BE595B">
        <w:rPr>
          <w:rFonts w:ascii="SimSun" w:hAnsi="SimSun"/>
          <w:sz w:val="21"/>
          <w:szCs w:val="21"/>
          <w:shd w:val="clear" w:color="auto" w:fill="FFFFFF"/>
        </w:rPr>
        <w:t>包括一个</w:t>
      </w:r>
      <w:r w:rsidRPr="00BE595B">
        <w:rPr>
          <w:rFonts w:ascii="SimSun" w:hAnsi="SimSun"/>
          <w:sz w:val="21"/>
          <w:szCs w:val="21"/>
        </w:rPr>
        <w:t>专门用于</w:t>
      </w:r>
      <w:hyperlink r:id="rId39" w:history="1">
        <w:r w:rsidRPr="00BE595B">
          <w:rPr>
            <w:rStyle w:val="Hyperlink"/>
            <w:rFonts w:ascii="SimSun" w:hAnsi="SimSun"/>
            <w:sz w:val="21"/>
            <w:szCs w:val="21"/>
          </w:rPr>
          <w:t>能源</w:t>
        </w:r>
      </w:hyperlink>
      <w:r w:rsidRPr="00BE595B">
        <w:rPr>
          <w:rFonts w:ascii="SimSun" w:hAnsi="SimSun"/>
          <w:sz w:val="21"/>
          <w:szCs w:val="21"/>
        </w:rPr>
        <w:t>的类别，共有56,647个条目。这些活动促进实现具体目标7.a和7.b以及可持续发展目标12。</w:t>
      </w:r>
    </w:p>
    <w:p w14:paraId="567DCB7F"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w:t>
      </w:r>
      <w:r w:rsidRPr="00BE595B">
        <w:rPr>
          <w:rFonts w:ascii="SimSun" w:hAnsi="SimSun"/>
          <w:b/>
          <w:sz w:val="21"/>
          <w:szCs w:val="21"/>
        </w:rPr>
        <w:t>仲裁与调解中心</w:t>
      </w:r>
      <w:r w:rsidRPr="00BE595B">
        <w:rPr>
          <w:rFonts w:ascii="SimSun" w:hAnsi="SimSun"/>
          <w:sz w:val="21"/>
          <w:szCs w:val="21"/>
        </w:rPr>
        <w:t>提供争议解决咨询和案件管理服务，帮助各方解决绿色技术和可持续性领域的争议，从而促进实现具体目标7.a。</w:t>
      </w:r>
    </w:p>
    <w:p w14:paraId="6EF59B4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产权组织管理其</w:t>
      </w:r>
      <w:r w:rsidRPr="00BE595B">
        <w:rPr>
          <w:rFonts w:ascii="SimSun" w:hAnsi="SimSun"/>
          <w:b/>
          <w:sz w:val="21"/>
          <w:szCs w:val="21"/>
        </w:rPr>
        <w:t>房舍基础设施</w:t>
      </w:r>
      <w:r w:rsidRPr="00BE595B">
        <w:rPr>
          <w:rFonts w:ascii="SimSun" w:hAnsi="SimSun"/>
          <w:sz w:val="21"/>
          <w:szCs w:val="21"/>
        </w:rPr>
        <w:t>的工作通过为所有人创造一个更清洁的环境，促进实现具体目标7.a，因为它减少了建筑物的能源消耗，减少了差旅，同时在总部和世界各地举行虚拟或混合会议</w:t>
      </w:r>
      <w:r w:rsidRPr="001E4AB5">
        <w:rPr>
          <w:rFonts w:asciiTheme="minorEastAsia" w:eastAsiaTheme="minorEastAsia" w:hAnsiTheme="minorEastAsia"/>
          <w:sz w:val="21"/>
          <w:szCs w:val="21"/>
        </w:rPr>
        <w:t>（</w:t>
      </w:r>
      <w:r w:rsidRPr="00BE595B">
        <w:rPr>
          <w:rFonts w:ascii="SimSun" w:hAnsi="SimSun"/>
          <w:sz w:val="21"/>
          <w:szCs w:val="21"/>
        </w:rPr>
        <w:t>产权组织房舍和差旅造成的温室气体排放仍低于2019年，该年度是COVID-19大流行前的最后一个完整参考年</w:t>
      </w:r>
      <w:r w:rsidRPr="001E4AB5">
        <w:rPr>
          <w:rFonts w:asciiTheme="minorEastAsia" w:eastAsiaTheme="minorEastAsia" w:hAnsiTheme="minorEastAsia"/>
          <w:sz w:val="21"/>
          <w:szCs w:val="21"/>
        </w:rPr>
        <w:t>）</w:t>
      </w:r>
      <w:r w:rsidRPr="00BE595B">
        <w:rPr>
          <w:rFonts w:ascii="SimSun" w:hAnsi="SimSun"/>
          <w:sz w:val="21"/>
          <w:szCs w:val="21"/>
        </w:rPr>
        <w:t>。2023年，产权组织继续：</w:t>
      </w:r>
      <w:r w:rsidRPr="001E4AB5">
        <w:rPr>
          <w:rFonts w:asciiTheme="minorEastAsia" w:eastAsiaTheme="minorEastAsia" w:hAnsiTheme="minorEastAsia"/>
          <w:sz w:val="21"/>
          <w:szCs w:val="21"/>
        </w:rPr>
        <w:t>（</w:t>
      </w:r>
      <w:r w:rsidRPr="00BE595B">
        <w:rPr>
          <w:rFonts w:ascii="SimSun" w:hAnsi="SimSun"/>
          <w:sz w:val="21"/>
          <w:szCs w:val="21"/>
        </w:rPr>
        <w:t>i</w:t>
      </w:r>
      <w:r w:rsidRPr="001E4AB5">
        <w:rPr>
          <w:rFonts w:asciiTheme="minorEastAsia" w:eastAsiaTheme="minorEastAsia" w:hAnsiTheme="minorEastAsia"/>
          <w:sz w:val="21"/>
          <w:szCs w:val="21"/>
        </w:rPr>
        <w:t>）</w:t>
      </w:r>
      <w:r w:rsidRPr="00BE595B">
        <w:rPr>
          <w:rFonts w:ascii="SimSun" w:hAnsi="SimSun"/>
          <w:sz w:val="21"/>
          <w:szCs w:val="21"/>
        </w:rPr>
        <w:t>利用日内瓦湖水可再生冷却系统对其建筑进行冷却；</w:t>
      </w:r>
      <w:r w:rsidRPr="001E4AB5">
        <w:rPr>
          <w:rFonts w:asciiTheme="minorEastAsia" w:eastAsiaTheme="minorEastAsia" w:hAnsiTheme="minorEastAsia"/>
          <w:sz w:val="21"/>
          <w:szCs w:val="21"/>
        </w:rPr>
        <w:t>（</w:t>
      </w:r>
      <w:r w:rsidRPr="00BE595B">
        <w:rPr>
          <w:rFonts w:ascii="SimSun" w:hAnsi="SimSun"/>
          <w:sz w:val="21"/>
          <w:szCs w:val="21"/>
        </w:rPr>
        <w:t>ii</w:t>
      </w:r>
      <w:r w:rsidRPr="001E4AB5">
        <w:rPr>
          <w:rFonts w:asciiTheme="minorEastAsia" w:eastAsiaTheme="minorEastAsia" w:hAnsiTheme="minorEastAsia"/>
          <w:sz w:val="21"/>
          <w:szCs w:val="21"/>
        </w:rPr>
        <w:t>）</w:t>
      </w:r>
      <w:r w:rsidRPr="00BE595B">
        <w:rPr>
          <w:rFonts w:ascii="SimSun" w:hAnsi="SimSun"/>
          <w:sz w:val="21"/>
          <w:szCs w:val="21"/>
        </w:rPr>
        <w:t>在大多数会议室和会议厅利用自然日光；</w:t>
      </w:r>
      <w:r w:rsidRPr="001E4AB5">
        <w:rPr>
          <w:rFonts w:asciiTheme="minorEastAsia" w:eastAsiaTheme="minorEastAsia" w:hAnsiTheme="minorEastAsia"/>
          <w:sz w:val="21"/>
          <w:szCs w:val="21"/>
        </w:rPr>
        <w:t>（</w:t>
      </w:r>
      <w:r w:rsidRPr="00BE595B">
        <w:rPr>
          <w:rFonts w:ascii="SimSun" w:hAnsi="SimSun"/>
          <w:sz w:val="21"/>
          <w:szCs w:val="21"/>
        </w:rPr>
        <w:t>iii</w:t>
      </w:r>
      <w:r w:rsidRPr="001E4AB5">
        <w:rPr>
          <w:rFonts w:asciiTheme="minorEastAsia" w:eastAsiaTheme="minorEastAsia" w:hAnsiTheme="minorEastAsia"/>
          <w:sz w:val="21"/>
          <w:szCs w:val="21"/>
        </w:rPr>
        <w:t>）</w:t>
      </w:r>
      <w:r w:rsidRPr="00BE595B">
        <w:rPr>
          <w:rFonts w:ascii="SimSun" w:hAnsi="SimSun"/>
          <w:sz w:val="21"/>
          <w:szCs w:val="21"/>
        </w:rPr>
        <w:t>在大量办公室和公共区域以及在夜间和非工作日利用低热量</w:t>
      </w:r>
      <w:r w:rsidRPr="001E4AB5">
        <w:rPr>
          <w:rFonts w:asciiTheme="minorEastAsia" w:eastAsiaTheme="minorEastAsia" w:hAnsiTheme="minorEastAsia"/>
          <w:sz w:val="21"/>
          <w:szCs w:val="21"/>
        </w:rPr>
        <w:t>（</w:t>
      </w:r>
      <w:r w:rsidRPr="00BE595B">
        <w:rPr>
          <w:rFonts w:ascii="SimSun" w:hAnsi="SimSun"/>
          <w:sz w:val="21"/>
          <w:szCs w:val="21"/>
        </w:rPr>
        <w:t>LED</w:t>
      </w:r>
      <w:r w:rsidRPr="001E4AB5">
        <w:rPr>
          <w:rFonts w:asciiTheme="minorEastAsia" w:eastAsiaTheme="minorEastAsia" w:hAnsiTheme="minorEastAsia"/>
          <w:sz w:val="21"/>
          <w:szCs w:val="21"/>
        </w:rPr>
        <w:t>）</w:t>
      </w:r>
      <w:r w:rsidRPr="00BE595B">
        <w:rPr>
          <w:rFonts w:ascii="SimSun" w:hAnsi="SimSun"/>
          <w:sz w:val="21"/>
          <w:szCs w:val="21"/>
        </w:rPr>
        <w:t>灯具和由存在或运动检测系统激活的照明；</w:t>
      </w:r>
      <w:r w:rsidRPr="001E4AB5">
        <w:rPr>
          <w:rFonts w:asciiTheme="minorEastAsia" w:eastAsiaTheme="minorEastAsia" w:hAnsiTheme="minorEastAsia"/>
          <w:sz w:val="21"/>
          <w:szCs w:val="21"/>
        </w:rPr>
        <w:t>（</w:t>
      </w:r>
      <w:r w:rsidRPr="00BE595B">
        <w:rPr>
          <w:rFonts w:ascii="SimSun" w:hAnsi="SimSun"/>
          <w:sz w:val="21"/>
          <w:szCs w:val="21"/>
        </w:rPr>
        <w:t>iv</w:t>
      </w:r>
      <w:r w:rsidRPr="001E4AB5">
        <w:rPr>
          <w:rFonts w:asciiTheme="minorEastAsia" w:eastAsiaTheme="minorEastAsia" w:hAnsiTheme="minorEastAsia"/>
          <w:sz w:val="21"/>
          <w:szCs w:val="21"/>
        </w:rPr>
        <w:t>）</w:t>
      </w:r>
      <w:r w:rsidRPr="00BE595B">
        <w:rPr>
          <w:rFonts w:ascii="SimSun" w:hAnsi="SimSun"/>
          <w:sz w:val="21"/>
          <w:szCs w:val="21"/>
        </w:rPr>
        <w:t>由于两座建筑采用绿色屋顶，排水和冷却效果更佳。此外，产权组织高度重视生物多样性保护，通过其年度计划，对产权组织公园</w:t>
      </w:r>
      <w:r w:rsidRPr="001E4AB5">
        <w:rPr>
          <w:rFonts w:asciiTheme="minorEastAsia" w:eastAsiaTheme="minorEastAsia" w:hAnsiTheme="minorEastAsia"/>
          <w:sz w:val="21"/>
          <w:szCs w:val="21"/>
        </w:rPr>
        <w:t>（</w:t>
      </w:r>
      <w:r w:rsidRPr="00BE595B">
        <w:rPr>
          <w:rFonts w:ascii="SimSun" w:hAnsi="SimSun"/>
          <w:sz w:val="21"/>
          <w:szCs w:val="21"/>
        </w:rPr>
        <w:t>对公众开放</w:t>
      </w:r>
      <w:r w:rsidRPr="001E4AB5">
        <w:rPr>
          <w:rFonts w:asciiTheme="minorEastAsia" w:eastAsiaTheme="minorEastAsia" w:hAnsiTheme="minorEastAsia"/>
          <w:sz w:val="21"/>
          <w:szCs w:val="21"/>
        </w:rPr>
        <w:t>）</w:t>
      </w:r>
      <w:r w:rsidRPr="00BE595B">
        <w:rPr>
          <w:rFonts w:ascii="SimSun" w:hAnsi="SimSun"/>
          <w:sz w:val="21"/>
          <w:szCs w:val="21"/>
        </w:rPr>
        <w:t>、内部花园和屋顶绿化中的百年老树和新近种植的树木进行保护和适当的园艺，从而为保护生物多样性、造福所有人做出贡献。</w:t>
      </w:r>
    </w:p>
    <w:p w14:paraId="3D713A8F" w14:textId="32F4A89F" w:rsidR="002A674D"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此外，由于产权组织通过《联合国气候变化框架公约》机制，将其不可避免的碳排放转化为购买核证减排量信用额</w:t>
      </w:r>
      <w:r w:rsidRPr="001E4AB5">
        <w:rPr>
          <w:rFonts w:asciiTheme="minorEastAsia" w:eastAsiaTheme="minorEastAsia" w:hAnsiTheme="minorEastAsia"/>
          <w:sz w:val="21"/>
          <w:szCs w:val="21"/>
        </w:rPr>
        <w:t>（</w:t>
      </w:r>
      <w:r w:rsidRPr="00BE595B">
        <w:rPr>
          <w:rFonts w:ascii="SimSun" w:hAnsi="SimSun"/>
          <w:sz w:val="21"/>
          <w:szCs w:val="21"/>
        </w:rPr>
        <w:t>CER</w:t>
      </w:r>
      <w:r w:rsidRPr="00BE595B">
        <w:rPr>
          <w:rStyle w:val="FootnoteReference"/>
          <w:rFonts w:ascii="SimSun" w:hAnsi="SimSun"/>
          <w:sz w:val="21"/>
          <w:szCs w:val="21"/>
        </w:rPr>
        <w:footnoteReference w:id="6"/>
      </w:r>
      <w:r w:rsidRPr="001E4AB5">
        <w:rPr>
          <w:rFonts w:asciiTheme="minorEastAsia" w:eastAsiaTheme="minorEastAsia" w:hAnsiTheme="minorEastAsia"/>
          <w:sz w:val="21"/>
          <w:szCs w:val="21"/>
        </w:rPr>
        <w:t>）</w:t>
      </w:r>
      <w:r w:rsidRPr="00BE595B">
        <w:rPr>
          <w:rFonts w:ascii="SimSun" w:hAnsi="SimSun"/>
          <w:sz w:val="21"/>
          <w:szCs w:val="21"/>
        </w:rPr>
        <w:t>，从而为资助特别容易受到气候变化不利影响的发展中国家的具体适应项目和计划做出贡献。这一机制对发展中国家的清洁或更清洁的能源基础设施和技术有直接的积极影响。产权组织为降低东道国的碳足迹做出贡献，并在世界范围内产生积极影响，具体做法是根据与东道国达成的旨在尽量减少与建筑有关的能源消耗的十年期承诺，实施各项措施。本组织还在东道国的支持下，与日内瓦州政府、日内瓦大学以及一些联合国机构、其他政府间组织、会员国常驻代表团和当地公共及私营部门实体一起，深入参与了日内瓦州的一项倡议</w:t>
      </w:r>
      <w:r w:rsidRPr="001E4AB5">
        <w:rPr>
          <w:rFonts w:asciiTheme="minorEastAsia" w:eastAsiaTheme="minorEastAsia" w:hAnsiTheme="minorEastAsia"/>
          <w:sz w:val="21"/>
          <w:szCs w:val="21"/>
        </w:rPr>
        <w:t>（</w:t>
      </w:r>
      <w:r w:rsidRPr="00BE595B">
        <w:rPr>
          <w:rFonts w:ascii="SimSun" w:hAnsi="SimSun"/>
          <w:sz w:val="21"/>
          <w:szCs w:val="21"/>
        </w:rPr>
        <w:t>主题为</w:t>
      </w:r>
      <w:r w:rsidRPr="001E4AB5">
        <w:rPr>
          <w:rFonts w:asciiTheme="minorEastAsia" w:eastAsiaTheme="minorEastAsia" w:hAnsiTheme="minorEastAsia"/>
          <w:sz w:val="21"/>
          <w:szCs w:val="21"/>
        </w:rPr>
        <w:t>“</w:t>
      </w:r>
      <w:r w:rsidRPr="00BE595B">
        <w:rPr>
          <w:rFonts w:ascii="SimSun" w:hAnsi="SimSun"/>
          <w:sz w:val="21"/>
          <w:szCs w:val="21"/>
        </w:rPr>
        <w:t>2050Today</w:t>
      </w:r>
      <w:r w:rsidRPr="001E4AB5">
        <w:rPr>
          <w:rFonts w:asciiTheme="minorEastAsia" w:eastAsiaTheme="minorEastAsia" w:hAnsiTheme="minorEastAsia"/>
          <w:sz w:val="21"/>
          <w:szCs w:val="21"/>
        </w:rPr>
        <w:t>”）</w:t>
      </w:r>
      <w:r w:rsidRPr="00BE595B">
        <w:rPr>
          <w:rFonts w:ascii="SimSun" w:hAnsi="SimSun"/>
          <w:sz w:val="21"/>
          <w:szCs w:val="21"/>
        </w:rPr>
        <w:t>，以在2050年之前实现零排放。</w:t>
      </w:r>
    </w:p>
    <w:p w14:paraId="292DA53E" w14:textId="5017E9B1"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可持续发展目标8：促进持久、包容和可持续的经济增长，促进充分的生产性就业和人人获得体面工</w:t>
      </w:r>
      <w:r w:rsidR="00613487">
        <w:rPr>
          <w:rFonts w:ascii="KaiTi" w:eastAsia="KaiTi" w:hAnsi="KaiTi" w:hint="cs"/>
          <w:i w:val="0"/>
          <w:iCs w:val="0"/>
          <w:sz w:val="21"/>
          <w:szCs w:val="21"/>
        </w:rPr>
        <w:t>‍</w:t>
      </w:r>
      <w:r w:rsidRPr="001E4AB5">
        <w:rPr>
          <w:rFonts w:ascii="KaiTi" w:eastAsia="KaiTi" w:hAnsi="KaiTi"/>
          <w:i w:val="0"/>
          <w:iCs w:val="0"/>
          <w:sz w:val="21"/>
          <w:szCs w:val="21"/>
        </w:rPr>
        <w:t>作</w:t>
      </w:r>
    </w:p>
    <w:p w14:paraId="5AFDA6C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品牌和外观设计</w:t>
      </w:r>
      <w:r w:rsidRPr="00BE595B">
        <w:rPr>
          <w:rFonts w:ascii="SimSun" w:hAnsi="SimSun"/>
          <w:sz w:val="21"/>
          <w:szCs w:val="21"/>
        </w:rPr>
        <w:t>领域，产权组织在商标、工业品外观设计和地理标志领域向成员国，特别是发展中国家、最不发达国家和转型国家提供平衡的、以需求为导向的、针对具体国家的政策和立法建议。2023年，向来自5个不同地理区域的8个国家提供了18项政策和立法建议。这促进实现具体目标8.9以及具体目标9.4、9.a、10.a、16.3和16.6。</w:t>
      </w:r>
    </w:p>
    <w:p w14:paraId="7B8E457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产权组织提供了与马德里体系、海牙体系和里斯本体系有关的服务。</w:t>
      </w:r>
    </w:p>
    <w:p w14:paraId="640B978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马德里体系促进和扩大了获得商标国际保护的机会，这有助于实现促进持久、包容和可持续的经济增长，促进充分的生产性就业和人人获得体面工作的目标。商标保护对于维护品牌资产和价值中最具辨识度的特征并从中营利至关重要。希望产品或服务立足于国际市场的企业，无论规模大小，均可从马德里体系提供的简单且具成本效益的商标国际保护程序中受益。马德里体系通过协调手续和降低获得保护的成本，降低了获得国际商标保护的门槛。品牌所有人只需提交一份申请即可获得商标的国际注册。国际注册的效力等同于向国际申请中指定的马德里体系成员商标局提交的申请的效力。</w:t>
      </w:r>
    </w:p>
    <w:p w14:paraId="39BEA56D"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品牌所有人通过提交一份国际申请，可以避免以各种语文单独提交多份国内申请以及可能必须满足的不同形式要求和所产生的费用，如翻译、法律程序或法律代理的费用。每项指定的应付费用不高于品牌所有人为国内注册所付的费用。此外，产权组织对最不发达国家的品牌所有人免去90%的费用。如果商标保护不被驳回，国际注册具有与国内注册同等的效力。马德里体系还降低了维持国际注册所获所有权利的成本。对于国际注册中指定的所有马德里体系成员，只要在其的保护未被驳回，国际注册簿中的续展和其他登记也对它们生效。</w:t>
      </w:r>
    </w:p>
    <w:p w14:paraId="789A383B"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马德里注册部开展了多项活动，帮助发展中国家和最不发达国家，从而促进实现具体目标8.3。这些活动包括组织研讨会、培训知识产权局审查员，以及向准备加入或执行《马德里议定书》的知识产权局提供技术和立法援助。在知识产权局之外，还举办了网络研讨会、制作视频和开发其它通信工具，以满足广大知识产权利益攸关方，特别是商标用户和知识产权代理人的需求。</w:t>
      </w:r>
    </w:p>
    <w:p w14:paraId="0349FF1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以下着重介绍其中一些活动：</w:t>
      </w:r>
    </w:p>
    <w:p w14:paraId="5F4BB116"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资助马德里联盟成员国的代表和考虑加入马德里体系的其他产权组织成员国的代表参加马德里工作组会议，讨论马德里体系用户感兴趣的各种议题，并探讨改进和简化马德里体系的方法。</w:t>
      </w:r>
    </w:p>
    <w:p w14:paraId="1BA58465"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在博茨瓦纳、莱索托、马拉维、莫桑比克、卡塔尔、冈比亚和赞比亚为知识产权局工作人员举办了马德里体系虚拟培训讲习班，旨在审查在马德里体系下知识产权局作为原属局和指定缔约方主管局需要发挥的作用。</w:t>
      </w:r>
    </w:p>
    <w:p w14:paraId="7A8797D7"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向伯利兹和毛里求斯派出加入审查团</w:t>
      </w:r>
      <w:r w:rsidRPr="00AD1FC6">
        <w:rPr>
          <w:rFonts w:asciiTheme="minorEastAsia" w:eastAsiaTheme="minorEastAsia" w:hAnsiTheme="minorEastAsia"/>
          <w:sz w:val="21"/>
          <w:szCs w:val="21"/>
        </w:rPr>
        <w:t>——</w:t>
      </w:r>
      <w:r w:rsidRPr="00AD1FC6">
        <w:rPr>
          <w:rFonts w:ascii="SimSun" w:hAnsi="SimSun" w:cs="SimSun" w:hint="eastAsia"/>
          <w:sz w:val="21"/>
          <w:szCs w:val="21"/>
        </w:rPr>
        <w:t>在这两个国家加入后，组织了加入前</w:t>
      </w:r>
      <w:r w:rsidRPr="00BE595B">
        <w:rPr>
          <w:rFonts w:ascii="SimSun" w:hAnsi="SimSun"/>
          <w:sz w:val="21"/>
          <w:szCs w:val="21"/>
        </w:rPr>
        <w:t>/</w:t>
      </w:r>
      <w:r w:rsidRPr="00AD1FC6">
        <w:rPr>
          <w:rFonts w:ascii="SimSun" w:hAnsi="SimSun" w:cs="SimSun" w:hint="eastAsia"/>
          <w:sz w:val="21"/>
          <w:szCs w:val="21"/>
        </w:rPr>
        <w:t>加入后活动，为国家知识产权局的商标官员和审查员提供关于马德里体系的程序和实践方面的详细具体培训；解释国家知识产权局作为原属局和指定缔约方主管局在马德里体系中的作用；审查国家知识产权局的做法和马德里体系的实施情况；提高商标法从业人员对马德里体系主要特征的理解；并确保在信息技术系统中推出马德里特有的工作流程。</w:t>
      </w:r>
    </w:p>
    <w:p w14:paraId="27B85B9B"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为行业和商标代理人举办关于马德里体系的认识提高研讨会，以增强相关利益攸关方对马德里体系的认识和理解，并向商标代理人和权利人介绍马德里体系的主要程序。2023年，在伯利兹举行了这种研讨会。</w:t>
      </w:r>
    </w:p>
    <w:p w14:paraId="7DDE4AF8"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为牙买加、马来西亚、纳米比亚和阿拉伯联合酋长国的知识产权局工作人员举办了关于具体问题的虚拟培训。</w:t>
      </w:r>
    </w:p>
    <w:p w14:paraId="16471F75"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还就马德里体系与尼日利亚、卡塔尔和沙特阿拉伯的知识产权局工作人员举行了双边会议，讨论其可能加入马德里体系的可能性。</w:t>
      </w:r>
    </w:p>
    <w:p w14:paraId="1514390E"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每月举行马德里网络研讨会，提供与商标国际注册申请和管理有关的实用信息。</w:t>
      </w:r>
    </w:p>
    <w:p w14:paraId="23222A19"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hint="eastAsia"/>
          <w:sz w:val="21"/>
          <w:szCs w:val="21"/>
        </w:rPr>
        <w:t>马德里奖学金计划为马德里体系缔约方国家局的审查员提供了经验，以加强他们的知识和专业能力。2023年，有多达19名研究员在该计划下工作。</w:t>
      </w:r>
    </w:p>
    <w:p w14:paraId="0B040844"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为国家知识产权局举办关于马德里体系程序和运作的在线培训讲习班，旨在加强各国知识产权局在获得和维护权利人因商标国际注册而享有的权利的程序方面的能力。2023年，与阿尔巴尼亚、阿塞拜疆、捷克共和国、埃及、吉尔吉斯斯坦、柬埔寨、老挝人民民主共和国、拉脱维亚、罗马尼亚、阿拉伯叙利亚共和国和越南的国家知识产权局举行了一次会议。</w:t>
      </w:r>
    </w:p>
    <w:p w14:paraId="6E7D2755"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为国家知识产权局举办的关于XML数据交换的在线培训讲习班，旨在i</w:t>
      </w:r>
      <w:r w:rsidR="00535230" w:rsidRPr="00BE595B">
        <w:rPr>
          <w:rFonts w:ascii="SimSun" w:hAnsi="SimSun" w:hint="eastAsia"/>
          <w:sz w:val="21"/>
          <w:szCs w:val="21"/>
        </w:rPr>
        <w:t>）</w:t>
      </w:r>
      <w:r w:rsidRPr="00BE595B">
        <w:rPr>
          <w:rFonts w:ascii="SimSun" w:hAnsi="SimSun"/>
          <w:sz w:val="21"/>
          <w:szCs w:val="21"/>
        </w:rPr>
        <w:t>提高对产权组织相关标准，特别是ST.96的认识；ii</w:t>
      </w:r>
      <w:r w:rsidR="00535230" w:rsidRPr="00BE595B">
        <w:rPr>
          <w:rFonts w:ascii="SimSun" w:hAnsi="SimSun" w:hint="eastAsia"/>
          <w:sz w:val="21"/>
          <w:szCs w:val="21"/>
        </w:rPr>
        <w:t>）</w:t>
      </w:r>
      <w:r w:rsidRPr="00BE595B">
        <w:rPr>
          <w:rFonts w:ascii="SimSun" w:hAnsi="SimSun"/>
          <w:sz w:val="21"/>
          <w:szCs w:val="21"/>
        </w:rPr>
        <w:t>为使用XML系统处理、传播和交换马德里数据提供建议和指导；iii</w:t>
      </w:r>
      <w:r w:rsidR="00535230" w:rsidRPr="00BE595B">
        <w:rPr>
          <w:rFonts w:ascii="SimSun" w:hAnsi="SimSun" w:hint="eastAsia"/>
          <w:sz w:val="21"/>
          <w:szCs w:val="21"/>
        </w:rPr>
        <w:t>）</w:t>
      </w:r>
      <w:r w:rsidRPr="00BE595B">
        <w:rPr>
          <w:rFonts w:ascii="SimSun" w:hAnsi="SimSun"/>
          <w:sz w:val="21"/>
          <w:szCs w:val="21"/>
        </w:rPr>
        <w:t>规范XML文件的结构；iv</w:t>
      </w:r>
      <w:r w:rsidR="00535230" w:rsidRPr="00BE595B">
        <w:rPr>
          <w:rFonts w:ascii="SimSun" w:hAnsi="SimSun" w:hint="eastAsia"/>
          <w:sz w:val="21"/>
          <w:szCs w:val="21"/>
        </w:rPr>
        <w:t>）</w:t>
      </w:r>
      <w:r w:rsidRPr="00BE595B">
        <w:rPr>
          <w:rFonts w:ascii="SimSun" w:hAnsi="SimSun"/>
          <w:sz w:val="21"/>
          <w:szCs w:val="21"/>
        </w:rPr>
        <w:t>提高成员局发送数据的质量。</w:t>
      </w:r>
    </w:p>
    <w:p w14:paraId="010567BB"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翻译马德里商品和服务管理器，该管理器通过提供大量的术语和描述，帮助商标申请人对其清单进行汇编和分类。产权组织资助了将这些术语翻译为成员局语言的工作。2023年，产权组织与亚美尼亚和蒙古的主管局开展了合作。</w:t>
      </w:r>
    </w:p>
    <w:p w14:paraId="25D7D6A4"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向多个知识产权局提供了马德里体系电子通信方面的技术援助。这包括为这些知识产权局提供访问马德里主管局门户</w:t>
      </w:r>
      <w:r w:rsidRPr="001E4AB5">
        <w:rPr>
          <w:rFonts w:asciiTheme="minorEastAsia" w:eastAsiaTheme="minorEastAsia" w:hAnsiTheme="minorEastAsia"/>
          <w:sz w:val="21"/>
          <w:szCs w:val="21"/>
        </w:rPr>
        <w:t>（</w:t>
      </w:r>
      <w:r w:rsidRPr="00BE595B">
        <w:rPr>
          <w:rFonts w:ascii="SimSun" w:hAnsi="SimSun"/>
          <w:sz w:val="21"/>
          <w:szCs w:val="21"/>
        </w:rPr>
        <w:t>MOP</w:t>
      </w:r>
      <w:r w:rsidRPr="001E4AB5">
        <w:rPr>
          <w:rFonts w:asciiTheme="minorEastAsia" w:eastAsiaTheme="minorEastAsia" w:hAnsiTheme="minorEastAsia"/>
          <w:sz w:val="21"/>
          <w:szCs w:val="21"/>
        </w:rPr>
        <w:t>）</w:t>
      </w:r>
      <w:r w:rsidRPr="00BE595B">
        <w:rPr>
          <w:rFonts w:ascii="SimSun" w:hAnsi="SimSun"/>
          <w:sz w:val="21"/>
          <w:szCs w:val="21"/>
        </w:rPr>
        <w:t>工具的途径，并帮助它们在马德里体系下接收和传达通知，包括交换关于新的多媒体商标表示的信息；以及在加入期间和之后的援助</w:t>
      </w:r>
      <w:r w:rsidRPr="001E4AB5">
        <w:rPr>
          <w:rFonts w:asciiTheme="minorEastAsia" w:eastAsiaTheme="minorEastAsia" w:hAnsiTheme="minorEastAsia"/>
          <w:sz w:val="21"/>
          <w:szCs w:val="21"/>
        </w:rPr>
        <w:t>（</w:t>
      </w:r>
      <w:r w:rsidRPr="00BE595B">
        <w:rPr>
          <w:rFonts w:ascii="SimSun" w:hAnsi="SimSun"/>
          <w:sz w:val="21"/>
          <w:szCs w:val="21"/>
        </w:rPr>
        <w:t>伯利兹、中华</w:t>
      </w:r>
      <w:r w:rsidRPr="00BE595B">
        <w:rPr>
          <w:rStyle w:val="ui-provider"/>
          <w:rFonts w:ascii="SimSun" w:hAnsi="SimSun"/>
          <w:sz w:val="21"/>
          <w:szCs w:val="21"/>
        </w:rPr>
        <w:t>人民共和国香港</w:t>
      </w:r>
      <w:r w:rsidRPr="00BE595B">
        <w:rPr>
          <w:rFonts w:ascii="SimSun" w:hAnsi="SimSun"/>
          <w:sz w:val="21"/>
          <w:szCs w:val="21"/>
        </w:rPr>
        <w:t>特别行政区、毛里求斯和沙特阿拉伯</w:t>
      </w:r>
      <w:r w:rsidRPr="001E4AB5">
        <w:rPr>
          <w:rFonts w:asciiTheme="minorEastAsia" w:eastAsiaTheme="minorEastAsia" w:hAnsiTheme="minorEastAsia"/>
          <w:sz w:val="21"/>
          <w:szCs w:val="21"/>
        </w:rPr>
        <w:t>）</w:t>
      </w:r>
      <w:r w:rsidRPr="00BE595B">
        <w:rPr>
          <w:rFonts w:ascii="SimSun" w:hAnsi="SimSun"/>
          <w:sz w:val="21"/>
          <w:szCs w:val="21"/>
        </w:rPr>
        <w:t>。2023年12月，在哈萨克斯坦阿斯塔纳举行了向可扩展标记语言</w:t>
      </w:r>
      <w:r w:rsidRPr="001E4AB5">
        <w:rPr>
          <w:rFonts w:asciiTheme="minorEastAsia" w:eastAsiaTheme="minorEastAsia" w:hAnsiTheme="minorEastAsia"/>
          <w:sz w:val="21"/>
          <w:szCs w:val="21"/>
        </w:rPr>
        <w:t>（</w:t>
      </w:r>
      <w:r w:rsidRPr="00BE595B">
        <w:rPr>
          <w:rFonts w:ascii="SimSun" w:hAnsi="SimSun"/>
          <w:sz w:val="21"/>
          <w:szCs w:val="21"/>
        </w:rPr>
        <w:t>XML</w:t>
      </w:r>
      <w:r w:rsidRPr="001E4AB5">
        <w:rPr>
          <w:rFonts w:asciiTheme="minorEastAsia" w:eastAsiaTheme="minorEastAsia" w:hAnsiTheme="minorEastAsia"/>
          <w:sz w:val="21"/>
          <w:szCs w:val="21"/>
        </w:rPr>
        <w:t>）</w:t>
      </w:r>
      <w:r w:rsidRPr="00BE595B">
        <w:rPr>
          <w:rFonts w:ascii="SimSun" w:hAnsi="SimSun"/>
          <w:sz w:val="21"/>
          <w:szCs w:val="21"/>
        </w:rPr>
        <w:t>数据交换过渡的区域讲习班，以促进马德里体系下的电子通信。</w:t>
      </w:r>
    </w:p>
    <w:p w14:paraId="3CF15538"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向六个新的知识产权局</w:t>
      </w:r>
      <w:r w:rsidRPr="001E4AB5">
        <w:rPr>
          <w:rFonts w:asciiTheme="minorEastAsia" w:eastAsiaTheme="minorEastAsia" w:hAnsiTheme="minorEastAsia"/>
          <w:sz w:val="21"/>
          <w:szCs w:val="21"/>
        </w:rPr>
        <w:t>（</w:t>
      </w:r>
      <w:r w:rsidRPr="00BE595B">
        <w:rPr>
          <w:rFonts w:ascii="SimSun" w:hAnsi="SimSun"/>
          <w:sz w:val="21"/>
          <w:szCs w:val="21"/>
        </w:rPr>
        <w:t>克罗地亚、以色列、蒙古</w:t>
      </w:r>
      <w:r w:rsidR="00B27B4F" w:rsidRPr="00BE595B">
        <w:rPr>
          <w:rFonts w:ascii="SimSun" w:hAnsi="SimSun" w:hint="eastAsia"/>
          <w:sz w:val="21"/>
          <w:szCs w:val="21"/>
        </w:rPr>
        <w:t>、</w:t>
      </w:r>
      <w:r w:rsidRPr="00BE595B">
        <w:rPr>
          <w:rFonts w:ascii="SimSun" w:hAnsi="SimSun"/>
          <w:sz w:val="21"/>
          <w:szCs w:val="21"/>
        </w:rPr>
        <w:t>圣马力诺</w:t>
      </w:r>
      <w:r w:rsidR="00B27B4F" w:rsidRPr="00BE595B">
        <w:rPr>
          <w:rFonts w:ascii="SimSun" w:hAnsi="SimSun" w:hint="eastAsia"/>
          <w:sz w:val="21"/>
          <w:szCs w:val="21"/>
        </w:rPr>
        <w:t>、</w:t>
      </w:r>
      <w:r w:rsidR="00B27B4F" w:rsidRPr="00BE595B">
        <w:rPr>
          <w:rFonts w:ascii="SimSun" w:hAnsi="SimSun"/>
          <w:sz w:val="21"/>
          <w:szCs w:val="21"/>
        </w:rPr>
        <w:t>冈比亚</w:t>
      </w:r>
      <w:r w:rsidR="00B27B4F" w:rsidRPr="00BE595B">
        <w:rPr>
          <w:rFonts w:ascii="SimSun" w:hAnsi="SimSun" w:hint="eastAsia"/>
          <w:sz w:val="21"/>
          <w:szCs w:val="21"/>
        </w:rPr>
        <w:t>以及</w:t>
      </w:r>
      <w:r w:rsidR="00B27B4F" w:rsidRPr="00BE595B">
        <w:rPr>
          <w:rFonts w:ascii="SimSun" w:hAnsi="SimSun"/>
          <w:sz w:val="21"/>
          <w:szCs w:val="21"/>
        </w:rPr>
        <w:t>特立尼达和多巴哥</w:t>
      </w:r>
      <w:r w:rsidRPr="001E4AB5">
        <w:rPr>
          <w:rFonts w:asciiTheme="minorEastAsia" w:eastAsiaTheme="minorEastAsia" w:hAnsiTheme="minorEastAsia"/>
          <w:sz w:val="21"/>
          <w:szCs w:val="21"/>
        </w:rPr>
        <w:t>）</w:t>
      </w:r>
      <w:r w:rsidRPr="00BE595B">
        <w:rPr>
          <w:rFonts w:ascii="SimSun" w:hAnsi="SimSun"/>
          <w:sz w:val="21"/>
          <w:szCs w:val="21"/>
        </w:rPr>
        <w:t>推广马德里电子申请；并向另外77个知识产权局</w:t>
      </w:r>
      <w:r w:rsidRPr="001E4AB5">
        <w:rPr>
          <w:rFonts w:asciiTheme="minorEastAsia" w:eastAsiaTheme="minorEastAsia" w:hAnsiTheme="minorEastAsia"/>
          <w:sz w:val="21"/>
          <w:szCs w:val="21"/>
        </w:rPr>
        <w:t>（</w:t>
      </w:r>
      <w:r w:rsidRPr="00BE595B">
        <w:rPr>
          <w:rFonts w:ascii="SimSun" w:hAnsi="SimSun"/>
          <w:sz w:val="21"/>
          <w:szCs w:val="21"/>
        </w:rPr>
        <w:t>包括</w:t>
      </w:r>
      <w:r w:rsidR="00267B7F" w:rsidRPr="00BE595B">
        <w:rPr>
          <w:rFonts w:ascii="SimSun" w:hAnsi="SimSun"/>
          <w:sz w:val="21"/>
          <w:szCs w:val="21"/>
        </w:rPr>
        <w:t>德国</w:t>
      </w:r>
      <w:r w:rsidR="00267B7F" w:rsidRPr="00BE595B">
        <w:rPr>
          <w:rFonts w:ascii="SimSun" w:hAnsi="SimSun" w:hint="eastAsia"/>
          <w:sz w:val="21"/>
          <w:szCs w:val="21"/>
        </w:rPr>
        <w:t>、</w:t>
      </w:r>
      <w:r w:rsidRPr="00BE595B">
        <w:rPr>
          <w:rFonts w:ascii="SimSun" w:hAnsi="SimSun"/>
          <w:sz w:val="21"/>
          <w:szCs w:val="21"/>
        </w:rPr>
        <w:t>墨西哥、菲律宾和美利坚合众国</w:t>
      </w:r>
      <w:r w:rsidRPr="001E4AB5">
        <w:rPr>
          <w:rFonts w:asciiTheme="minorEastAsia" w:eastAsiaTheme="minorEastAsia" w:hAnsiTheme="minorEastAsia"/>
          <w:sz w:val="21"/>
          <w:szCs w:val="21"/>
        </w:rPr>
        <w:t>）</w:t>
      </w:r>
      <w:r w:rsidRPr="00BE595B">
        <w:rPr>
          <w:rFonts w:ascii="SimSun" w:hAnsi="SimSun"/>
          <w:sz w:val="21"/>
          <w:szCs w:val="21"/>
        </w:rPr>
        <w:t>提供马德里申请助手。目前正在与</w:t>
      </w:r>
      <w:r w:rsidRPr="00BE595B">
        <w:rPr>
          <w:rStyle w:val="ui-provider"/>
          <w:rFonts w:ascii="SimSun" w:hAnsi="SimSun"/>
          <w:sz w:val="21"/>
          <w:szCs w:val="21"/>
        </w:rPr>
        <w:t>中华人民共和国香港特别行政</w:t>
      </w:r>
      <w:r w:rsidRPr="00BE595B">
        <w:rPr>
          <w:rFonts w:ascii="SimSun" w:hAnsi="SimSun"/>
          <w:sz w:val="21"/>
          <w:szCs w:val="21"/>
        </w:rPr>
        <w:t>区和英国进行磋商，以促进向马德里电子申请工具的过渡并提供相关建议。</w:t>
      </w:r>
    </w:p>
    <w:p w14:paraId="0919A14D"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工业品外观设计国际注册海牙体系促进并扩大了获得国际外观设计保护的渠道，这促进实现具体目标8.2和8.3。在海牙体系下，一件国际申请可包含多达100件工业品外观设计，并在海牙体系79个成员覆盖的多达96个国家生效。工业品外观设计使产品对客户具有吸引力和感染力。外观设计推动了消费者的选择：产品外观可能是消费者作出购买决定的关键因素。因此，工业品外观设计对中小企业和大型公司都非常重要，而不论其活动领域为何。工业品外观设计广泛应用于各种工业和手工业产品：包装和容器、家具和家居用品、照明设备、珠宝、电子设备和纺织品等。工业品外观设计也可能与图形符号、图形用户界面</w:t>
      </w:r>
      <w:r w:rsidRPr="001E4AB5">
        <w:rPr>
          <w:rFonts w:asciiTheme="minorEastAsia" w:eastAsiaTheme="minorEastAsia" w:hAnsiTheme="minorEastAsia"/>
          <w:sz w:val="21"/>
          <w:szCs w:val="21"/>
        </w:rPr>
        <w:t>（</w:t>
      </w:r>
      <w:r w:rsidRPr="00BE595B">
        <w:rPr>
          <w:rFonts w:ascii="SimSun" w:hAnsi="SimSun"/>
          <w:sz w:val="21"/>
          <w:szCs w:val="21"/>
        </w:rPr>
        <w:t>GUI</w:t>
      </w:r>
      <w:r w:rsidRPr="001E4AB5">
        <w:rPr>
          <w:rFonts w:asciiTheme="minorEastAsia" w:eastAsiaTheme="minorEastAsia" w:hAnsiTheme="minorEastAsia"/>
          <w:sz w:val="21"/>
          <w:szCs w:val="21"/>
        </w:rPr>
        <w:t>）</w:t>
      </w:r>
      <w:r w:rsidRPr="00BE595B">
        <w:rPr>
          <w:rFonts w:ascii="SimSun" w:hAnsi="SimSun"/>
          <w:sz w:val="21"/>
          <w:szCs w:val="21"/>
        </w:rPr>
        <w:t>和徽标相关。</w:t>
      </w:r>
    </w:p>
    <w:p w14:paraId="3D8ECD16"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海牙体系下，个人设计者、中小企业或大型国际公司均可受益于简化的申请过程和降低的成本，以寻求在多个市场上获得和保护其工业品外观设计权。国际注册的效力等同于向指定的知识产权局提交的国内申请的效力，如果各知识产权局在规定期限内未发出驳回通知，则国际注册具有国内注册的效力。海牙体系还降低了维持通过国际注册所获所有权利的成本。此外，对于最不发达国家的外观设计所有人/创作者来说，国际申请费以及应向指定的海牙成员缴纳的标准指定费均减少90%。</w:t>
      </w:r>
    </w:p>
    <w:p w14:paraId="097934A5"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海牙登记处开展了一系列援助发展中国家和最不发达国家的活动，从而促进实现具体目标8.2和8.3。这些活动包括组织研讨会、培训知识产权局的工作人员，以及向各知识产权局提供技术和立法援助以加入或实施《海牙协定</w:t>
      </w:r>
      <w:r w:rsidRPr="001E4AB5">
        <w:rPr>
          <w:rFonts w:asciiTheme="minorEastAsia" w:eastAsiaTheme="minorEastAsia" w:hAnsiTheme="minorEastAsia"/>
          <w:sz w:val="21"/>
          <w:szCs w:val="21"/>
        </w:rPr>
        <w:t>（</w:t>
      </w:r>
      <w:r w:rsidRPr="00BE595B">
        <w:rPr>
          <w:rFonts w:ascii="SimSun" w:hAnsi="SimSun"/>
          <w:sz w:val="21"/>
          <w:szCs w:val="21"/>
        </w:rPr>
        <w:t>日内瓦文本</w:t>
      </w:r>
      <w:r w:rsidRPr="001E4AB5">
        <w:rPr>
          <w:rFonts w:asciiTheme="minorEastAsia" w:eastAsiaTheme="minorEastAsia" w:hAnsiTheme="minorEastAsia"/>
          <w:sz w:val="21"/>
          <w:szCs w:val="21"/>
        </w:rPr>
        <w:t>）</w:t>
      </w:r>
      <w:r w:rsidRPr="00BE595B">
        <w:rPr>
          <w:rFonts w:ascii="SimSun" w:hAnsi="SimSun"/>
          <w:sz w:val="21"/>
          <w:szCs w:val="21"/>
        </w:rPr>
        <w:t>》</w:t>
      </w:r>
      <w:r w:rsidRPr="001E4AB5">
        <w:rPr>
          <w:rFonts w:asciiTheme="minorEastAsia" w:eastAsiaTheme="minorEastAsia" w:hAnsiTheme="minorEastAsia"/>
          <w:sz w:val="21"/>
          <w:szCs w:val="21"/>
        </w:rPr>
        <w:t>（</w:t>
      </w:r>
      <w:r w:rsidRPr="00BE595B">
        <w:rPr>
          <w:rFonts w:ascii="SimSun" w:hAnsi="SimSun"/>
          <w:sz w:val="21"/>
          <w:szCs w:val="21"/>
        </w:rPr>
        <w:t>1999年</w:t>
      </w:r>
      <w:r w:rsidRPr="001E4AB5">
        <w:rPr>
          <w:rFonts w:asciiTheme="minorEastAsia" w:eastAsiaTheme="minorEastAsia" w:hAnsiTheme="minorEastAsia"/>
          <w:sz w:val="21"/>
          <w:szCs w:val="21"/>
        </w:rPr>
        <w:t>）</w:t>
      </w:r>
      <w:r w:rsidRPr="00BE595B">
        <w:rPr>
          <w:rFonts w:ascii="SimSun" w:hAnsi="SimSun"/>
          <w:sz w:val="21"/>
          <w:szCs w:val="21"/>
        </w:rPr>
        <w:t>。在知识产权局之外，还举办了网络研讨会、制作视频和开发其它通信工具，以满足广大知识产权利益攸关方，特别是设计界和知识产权代理人的需求。</w:t>
      </w:r>
    </w:p>
    <w:p w14:paraId="3B21222F"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以下着重介绍其中一些活动：</w:t>
      </w:r>
    </w:p>
    <w:p w14:paraId="270BE0EC"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以英语、法语和西班牙语为海牙现有用户和潜在用户组织公共网络研讨会。</w:t>
      </w:r>
    </w:p>
    <w:p w14:paraId="2DE31DD7"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举办讲座和演示报告，以及参加由不同机构组织的培训和会议，受众不尽相同，特别针对学生和知识产权专业人士。</w:t>
      </w:r>
    </w:p>
    <w:p w14:paraId="7EFB383D"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对知识产权局工作人员的培训、与加入有关的活动和立法援助。</w:t>
      </w:r>
    </w:p>
    <w:p w14:paraId="2CDBA724"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为公众和知识产权局举办区域讲习班，传播有关海牙体系的信息和知识，以及举办会议、对话和其他提高认识的活动。</w:t>
      </w:r>
    </w:p>
    <w:p w14:paraId="1E8CB329"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通过在海牙体系成员概况和eHague中部署经改进的功能，加强海牙体系面向客户的工具。确定2024/2025年信息技术路线图的优先事项。</w:t>
      </w:r>
    </w:p>
    <w:p w14:paraId="2B578680"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一系列市场营销/业务发展工具：面向中小企业的海牙体系宣传视频；关于海牙体系优势的短视频；新的eHague自助服务功能和多因素认证的宣传策略；两个海牙体系故事；两个</w:t>
      </w:r>
      <w:r w:rsidRPr="001E4AB5">
        <w:rPr>
          <w:rFonts w:asciiTheme="minorEastAsia" w:eastAsiaTheme="minorEastAsia" w:hAnsiTheme="minorEastAsia"/>
          <w:sz w:val="21"/>
          <w:szCs w:val="21"/>
        </w:rPr>
        <w:t>“</w:t>
      </w:r>
      <w:r w:rsidRPr="00BE595B">
        <w:rPr>
          <w:rFonts w:ascii="SimSun" w:hAnsi="SimSun"/>
          <w:sz w:val="21"/>
          <w:szCs w:val="21"/>
        </w:rPr>
        <w:t>设计在行动</w:t>
      </w:r>
      <w:r w:rsidRPr="001E4AB5">
        <w:rPr>
          <w:rFonts w:asciiTheme="minorEastAsia" w:eastAsiaTheme="minorEastAsia" w:hAnsiTheme="minorEastAsia"/>
          <w:sz w:val="21"/>
          <w:szCs w:val="21"/>
        </w:rPr>
        <w:t>”</w:t>
      </w:r>
      <w:r w:rsidRPr="00BE595B">
        <w:rPr>
          <w:rFonts w:ascii="SimSun" w:hAnsi="SimSun"/>
          <w:sz w:val="21"/>
          <w:szCs w:val="21"/>
        </w:rPr>
        <w:t>故事；以及一系列新闻文章。</w:t>
      </w:r>
    </w:p>
    <w:p w14:paraId="52E593A1" w14:textId="2E805893"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信息传播材料：推出一系列</w:t>
      </w:r>
      <w:r w:rsidRPr="001E4AB5">
        <w:rPr>
          <w:rFonts w:asciiTheme="minorEastAsia" w:eastAsiaTheme="minorEastAsia" w:hAnsiTheme="minorEastAsia"/>
          <w:sz w:val="21"/>
          <w:szCs w:val="21"/>
        </w:rPr>
        <w:t>“</w:t>
      </w:r>
      <w:r w:rsidRPr="00BE595B">
        <w:rPr>
          <w:rFonts w:ascii="SimSun" w:hAnsi="SimSun"/>
          <w:sz w:val="21"/>
          <w:szCs w:val="21"/>
        </w:rPr>
        <w:t>怎样</w:t>
      </w:r>
      <w:r w:rsidRPr="001E4AB5">
        <w:rPr>
          <w:rFonts w:asciiTheme="minorEastAsia" w:eastAsiaTheme="minorEastAsia" w:hAnsiTheme="minorEastAsia"/>
          <w:sz w:val="21"/>
          <w:szCs w:val="21"/>
        </w:rPr>
        <w:t>”</w:t>
      </w:r>
      <w:r w:rsidRPr="00BE595B">
        <w:rPr>
          <w:rFonts w:ascii="SimSun" w:hAnsi="SimSun"/>
          <w:sz w:val="21"/>
          <w:szCs w:val="21"/>
        </w:rPr>
        <w:t>视频教程和其他关于强身份认证的视频教程；开发海牙体系播客系列；筹备推出关于海牙体系的专门远程学习课程</w:t>
      </w:r>
      <w:r w:rsidRPr="001E4AB5">
        <w:rPr>
          <w:rFonts w:asciiTheme="minorEastAsia" w:eastAsiaTheme="minorEastAsia" w:hAnsiTheme="minorEastAsia"/>
          <w:sz w:val="21"/>
          <w:szCs w:val="21"/>
        </w:rPr>
        <w:t>（</w:t>
      </w:r>
      <w:r w:rsidRPr="00BE595B">
        <w:rPr>
          <w:rFonts w:ascii="SimSun" w:hAnsi="SimSun"/>
          <w:sz w:val="21"/>
          <w:szCs w:val="21"/>
        </w:rPr>
        <w:t>DL-304</w:t>
      </w:r>
      <w:r w:rsidRPr="001E4AB5">
        <w:rPr>
          <w:rFonts w:asciiTheme="minorEastAsia" w:eastAsiaTheme="minorEastAsia" w:hAnsiTheme="minorEastAsia"/>
          <w:sz w:val="21"/>
          <w:szCs w:val="21"/>
        </w:rPr>
        <w:t>）</w:t>
      </w:r>
      <w:r w:rsidRPr="00BE595B">
        <w:rPr>
          <w:rFonts w:ascii="SimSun" w:hAnsi="SimSun"/>
          <w:sz w:val="21"/>
          <w:szCs w:val="21"/>
        </w:rPr>
        <w:t>；更新《用户指南》、关于多种外观设计的指南和关于巴西加入的复制品的指南；更新海牙体系表格和关于新加入缔约方和缔约方变化的法律信息网页。</w:t>
      </w:r>
    </w:p>
    <w:p w14:paraId="394598D4" w14:textId="0CD2DD71"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海牙办事处的交付和IT系统效率得到改善。</w:t>
      </w:r>
    </w:p>
    <w:p w14:paraId="5B8537C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关于原产地名称和地理标志的国际注册和保护的里斯本体系帮助生产商从持续投资和努力中获得公平回报，这往往历经几代人，才建立起与原产地相关联的高质量产品的声誉。通过确保对原产地名称和地理标志的国际保护，里斯本体系有助于促进包容和可持续发展、生产性就业和人人获得体面工作，它注重增值型和劳动密集型部门，以及促进当地文化和当地生产，从而实现更高水平的经济生产力。</w:t>
      </w:r>
    </w:p>
    <w:p w14:paraId="1F6464AF" w14:textId="1085E9F5"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原产地名称或地理标志的内在特征，尤其是与特定地理位置的定性关联及其集体管理，有助于实现可持续发展目标。与原产地名称和地理标志相关的集体质量和品牌推广方案可形成一个良性循环，从而促进农村和当地发展、食品安全、推动出口和当地旅游。原产地名称和地理标志的生产者正日益认识到并更注重需要有效管理和维护其产品来源的特定自然环境，这反过来亦决定了产品的独特质量和特征。因此，这些知识产权可以在实现可持续自然资源管理和保护更尊重环境的传统种植技术方面发挥重要作用。在这方面，值得一提的是受里斯本体系保护的成熟的原产地名称的案例，如</w:t>
      </w:r>
      <w:r w:rsidRPr="00AD1FC6">
        <w:rPr>
          <w:rFonts w:asciiTheme="minorEastAsia" w:eastAsiaTheme="minorEastAsia" w:hAnsiTheme="minorEastAsia"/>
          <w:sz w:val="21"/>
          <w:szCs w:val="21"/>
        </w:rPr>
        <w:t>“</w:t>
      </w:r>
      <w:hyperlink r:id="rId40" w:history="1">
        <w:r w:rsidRPr="00BE595B">
          <w:rPr>
            <w:rStyle w:val="Hyperlink"/>
            <w:rFonts w:ascii="SimSun" w:hAnsi="SimSun"/>
            <w:sz w:val="21"/>
            <w:szCs w:val="21"/>
          </w:rPr>
          <w:t>哥斯达黎加香蕉</w:t>
        </w:r>
      </w:hyperlink>
      <w:r w:rsidRPr="00AD1FC6">
        <w:rPr>
          <w:rFonts w:asciiTheme="minorEastAsia" w:eastAsiaTheme="minorEastAsia" w:hAnsiTheme="minorEastAsia"/>
          <w:sz w:val="21"/>
          <w:szCs w:val="21"/>
        </w:rPr>
        <w:t>”</w:t>
      </w:r>
      <w:r w:rsidRPr="00BE595B">
        <w:rPr>
          <w:rFonts w:ascii="SimSun" w:hAnsi="SimSun"/>
          <w:sz w:val="21"/>
          <w:szCs w:val="21"/>
        </w:rPr>
        <w:t>，它已经遵循了</w:t>
      </w:r>
      <w:r w:rsidRPr="00AD1FC6">
        <w:rPr>
          <w:rFonts w:asciiTheme="minorEastAsia" w:eastAsiaTheme="minorEastAsia" w:hAnsiTheme="minorEastAsia"/>
          <w:sz w:val="21"/>
          <w:szCs w:val="21"/>
        </w:rPr>
        <w:t>“</w:t>
      </w:r>
      <w:r w:rsidRPr="00BE595B">
        <w:rPr>
          <w:rFonts w:ascii="SimSun" w:hAnsi="SimSun"/>
          <w:sz w:val="21"/>
          <w:szCs w:val="21"/>
        </w:rPr>
        <w:t>绿色</w:t>
      </w:r>
      <w:r w:rsidRPr="00AD1FC6">
        <w:rPr>
          <w:rFonts w:asciiTheme="minorEastAsia" w:eastAsiaTheme="minorEastAsia" w:hAnsiTheme="minorEastAsia"/>
          <w:sz w:val="21"/>
          <w:szCs w:val="21"/>
        </w:rPr>
        <w:t>”</w:t>
      </w:r>
      <w:r w:rsidRPr="00BE595B">
        <w:rPr>
          <w:rFonts w:ascii="SimSun" w:hAnsi="SimSun"/>
          <w:sz w:val="21"/>
          <w:szCs w:val="21"/>
        </w:rPr>
        <w:t>政策。然而，这种环境意识并不限于既定的原产地名称或地理标志。有潜力获得地理标志保护资格的商品生产者，如塞内加尔的野生水果</w:t>
      </w:r>
      <w:r w:rsidRPr="00AD1FC6">
        <w:rPr>
          <w:rFonts w:asciiTheme="minorEastAsia" w:eastAsiaTheme="minorEastAsia" w:hAnsiTheme="minorEastAsia"/>
          <w:sz w:val="21"/>
          <w:szCs w:val="21"/>
        </w:rPr>
        <w:t>“</w:t>
      </w:r>
      <w:hyperlink r:id="rId41" w:history="1">
        <w:r w:rsidRPr="00BE595B">
          <w:rPr>
            <w:rStyle w:val="Hyperlink"/>
            <w:rFonts w:ascii="SimSun" w:hAnsi="SimSun"/>
            <w:sz w:val="21"/>
            <w:szCs w:val="21"/>
          </w:rPr>
          <w:t>卡萨芒斯</w:t>
        </w:r>
        <w:r w:rsidR="00A06BBA">
          <w:rPr>
            <w:rStyle w:val="Hyperlink"/>
            <w:rFonts w:ascii="SimSun" w:hAnsi="SimSun" w:cs="SimSun" w:hint="eastAsia"/>
            <w:sz w:val="21"/>
            <w:szCs w:val="21"/>
          </w:rPr>
          <w:t>之</w:t>
        </w:r>
        <w:r w:rsidRPr="00BE595B">
          <w:rPr>
            <w:rStyle w:val="Hyperlink"/>
            <w:rFonts w:ascii="SimSun" w:hAnsi="SimSun"/>
            <w:sz w:val="21"/>
            <w:szCs w:val="21"/>
          </w:rPr>
          <w:t>果</w:t>
        </w:r>
      </w:hyperlink>
      <w:r w:rsidRPr="00AD1FC6">
        <w:rPr>
          <w:rFonts w:asciiTheme="minorEastAsia" w:eastAsiaTheme="minorEastAsia" w:hAnsiTheme="minorEastAsia"/>
          <w:sz w:val="21"/>
          <w:szCs w:val="21"/>
        </w:rPr>
        <w:t>”</w:t>
      </w:r>
      <w:r w:rsidRPr="00BE595B">
        <w:rPr>
          <w:rFonts w:ascii="SimSun" w:hAnsi="SimSun"/>
          <w:sz w:val="21"/>
          <w:szCs w:val="21"/>
        </w:rPr>
        <w:t>，也在努力确保可持续性考量纳入收割做法和衍生产品生产的地理标志规定和管控机制。</w:t>
      </w:r>
    </w:p>
    <w:p w14:paraId="1EA2C5EC" w14:textId="406D0F08"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里斯本体系下，小农、工匠和中小微企业可以集体受益于产权组织的简化申请过程，并降低在外国市场保护其原产地名称和地理标志的成本，从而促进实现目标具体目标8.3。根据《里斯本协定》及其文本规定的标准，在里斯本体系下进行的国际注册，只要体系成员在规定的时限内未驳回保护，即可保证在该成员相应的领土内受到保护。只要指定在原属国受到保护，保护就会持续，无需续</w:t>
      </w:r>
      <w:r w:rsidR="00613487">
        <w:rPr>
          <w:rFonts w:ascii="SimSun" w:hAnsi="SimSun" w:hint="cs"/>
          <w:sz w:val="21"/>
          <w:szCs w:val="21"/>
        </w:rPr>
        <w:t>‍</w:t>
      </w:r>
      <w:r w:rsidRPr="00BE595B">
        <w:rPr>
          <w:rFonts w:ascii="SimSun" w:hAnsi="SimSun"/>
          <w:sz w:val="21"/>
          <w:szCs w:val="21"/>
        </w:rPr>
        <w:t>展。</w:t>
      </w:r>
    </w:p>
    <w:p w14:paraId="569BB1C2" w14:textId="32E676AE"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俄罗斯联邦、圣多美和普林西比、塞内加尔和突尼斯于2023年加入《日内瓦法案》之后，在里斯本体系下注册的原产地名称和地理标志可在多达70个国家获得保护。此外，注册的影响将扩大到今后在相同条件下加入里斯本体系的潜在成员。里斯本体系包括最不发达国家、发展中国家和发达国</w:t>
      </w:r>
      <w:r w:rsidR="00613487">
        <w:rPr>
          <w:rFonts w:ascii="SimSun" w:hAnsi="SimSun" w:hint="cs"/>
          <w:sz w:val="21"/>
          <w:szCs w:val="21"/>
        </w:rPr>
        <w:t>‍</w:t>
      </w:r>
      <w:r w:rsidRPr="00BE595B">
        <w:rPr>
          <w:rFonts w:ascii="SimSun" w:hAnsi="SimSun"/>
          <w:sz w:val="21"/>
          <w:szCs w:val="21"/>
        </w:rPr>
        <w:t>家。</w:t>
      </w:r>
    </w:p>
    <w:p w14:paraId="32639451"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iCs/>
          <w:sz w:val="21"/>
          <w:szCs w:val="21"/>
        </w:rPr>
        <w:t>在</w:t>
      </w:r>
      <w:r w:rsidRPr="00BE595B">
        <w:rPr>
          <w:rFonts w:ascii="SimSun" w:hAnsi="SimSun"/>
          <w:b/>
          <w:sz w:val="21"/>
          <w:szCs w:val="21"/>
        </w:rPr>
        <w:t>树立尊重知识产权的风尚</w:t>
      </w:r>
      <w:r w:rsidRPr="00BE595B">
        <w:rPr>
          <w:rFonts w:ascii="SimSun" w:hAnsi="SimSun"/>
          <w:sz w:val="21"/>
          <w:szCs w:val="21"/>
        </w:rPr>
        <w:t>领域，产权组织启动了一项关于影响驱动型能力建设活动的新战略，旨在提高人员和机构能力，并为执法官员</w:t>
      </w:r>
      <w:r w:rsidRPr="001E4AB5">
        <w:rPr>
          <w:rFonts w:asciiTheme="minorEastAsia" w:eastAsiaTheme="minorEastAsia" w:hAnsiTheme="minorEastAsia"/>
          <w:sz w:val="21"/>
          <w:szCs w:val="21"/>
        </w:rPr>
        <w:t>（</w:t>
      </w:r>
      <w:r w:rsidRPr="00BE595B">
        <w:rPr>
          <w:rFonts w:ascii="SimSun" w:hAnsi="SimSun"/>
          <w:sz w:val="21"/>
          <w:szCs w:val="21"/>
        </w:rPr>
        <w:t>如警官、海关官员、市场检查员和检察官</w:t>
      </w:r>
      <w:r w:rsidRPr="001E4AB5">
        <w:rPr>
          <w:rFonts w:asciiTheme="minorEastAsia" w:eastAsiaTheme="minorEastAsia" w:hAnsiTheme="minorEastAsia"/>
          <w:sz w:val="21"/>
          <w:szCs w:val="21"/>
        </w:rPr>
        <w:t>）</w:t>
      </w:r>
      <w:r w:rsidRPr="00BE595B">
        <w:rPr>
          <w:rFonts w:ascii="SimSun" w:hAnsi="SimSun"/>
          <w:sz w:val="21"/>
          <w:szCs w:val="21"/>
        </w:rPr>
        <w:t>取得更可持续的培训成果。试点阶段正在进行中，有三个成员国参加。此外，继续为执法官员定制关于</w:t>
      </w:r>
      <w:r w:rsidRPr="001E4AB5">
        <w:rPr>
          <w:rFonts w:asciiTheme="minorEastAsia" w:eastAsiaTheme="minorEastAsia" w:hAnsiTheme="minorEastAsia"/>
          <w:sz w:val="21"/>
          <w:szCs w:val="21"/>
        </w:rPr>
        <w:t>“</w:t>
      </w:r>
      <w:r w:rsidRPr="00BE595B">
        <w:rPr>
          <w:rFonts w:ascii="SimSun" w:hAnsi="SimSun"/>
          <w:sz w:val="21"/>
          <w:szCs w:val="21"/>
        </w:rPr>
        <w:t>调查和起诉知识产权犯罪</w:t>
      </w:r>
      <w:r w:rsidRPr="001E4AB5">
        <w:rPr>
          <w:rFonts w:asciiTheme="minorEastAsia" w:eastAsiaTheme="minorEastAsia" w:hAnsiTheme="minorEastAsia"/>
          <w:sz w:val="21"/>
          <w:szCs w:val="21"/>
        </w:rPr>
        <w:t>”</w:t>
      </w:r>
      <w:r w:rsidRPr="00BE595B">
        <w:rPr>
          <w:rFonts w:ascii="SimSun" w:hAnsi="SimSun"/>
          <w:sz w:val="21"/>
          <w:szCs w:val="21"/>
        </w:rPr>
        <w:t>的专门培训材料，有助于产权组织确保能力建设资源满足成员国的实际具体需求。2023年，产权组织在国家、次区域和区域各级实施或参与了30多项</w:t>
      </w:r>
      <w:hyperlink r:id="rId42" w:history="1">
        <w:r w:rsidRPr="00BE595B">
          <w:rPr>
            <w:rStyle w:val="Hyperlink"/>
            <w:rFonts w:ascii="SimSun" w:hAnsi="SimSun"/>
            <w:iCs/>
            <w:sz w:val="21"/>
            <w:szCs w:val="21"/>
          </w:rPr>
          <w:t>活动</w:t>
        </w:r>
      </w:hyperlink>
      <w:r w:rsidRPr="00BE595B">
        <w:rPr>
          <w:rFonts w:ascii="SimSun" w:hAnsi="SimSun"/>
          <w:sz w:val="21"/>
          <w:szCs w:val="21"/>
        </w:rPr>
        <w:t>，惠及78个成员国。这些能力建设活动促进实现目标具体8.3以及具体目标16.3和16.6。</w:t>
      </w:r>
    </w:p>
    <w:p w14:paraId="2626E22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iCs/>
          <w:sz w:val="21"/>
          <w:szCs w:val="21"/>
        </w:rPr>
        <w:t>产权</w:t>
      </w:r>
      <w:r w:rsidRPr="00BE595B">
        <w:rPr>
          <w:rFonts w:ascii="SimSun" w:hAnsi="SimSun"/>
          <w:sz w:val="21"/>
          <w:szCs w:val="21"/>
        </w:rPr>
        <w:t>组织在这一领域的工作也支持了具体目标8.3、9.6和9.b，促进为政策制定者提供经验信息，以供其在制定支持创造力和创新的、以发展为导向的有效政策时参考。关于树立尊重知识产权的风尚的</w:t>
      </w:r>
      <w:hyperlink r:id="rId43" w:history="1">
        <w:r w:rsidRPr="00BE595B">
          <w:rPr>
            <w:rStyle w:val="Hyperlink"/>
            <w:rFonts w:ascii="SimSun" w:hAnsi="SimSun"/>
            <w:sz w:val="21"/>
            <w:szCs w:val="21"/>
          </w:rPr>
          <w:t>产权组织消费者调查工具包</w:t>
        </w:r>
      </w:hyperlink>
      <w:r w:rsidRPr="00BE595B">
        <w:rPr>
          <w:rFonts w:ascii="SimSun" w:hAnsi="SimSun"/>
          <w:sz w:val="21"/>
          <w:szCs w:val="21"/>
        </w:rPr>
        <w:t>可供公共和私营部门机构使用，以衡量消费者对盗版和假冒商品的态度。</w:t>
      </w:r>
    </w:p>
    <w:p w14:paraId="0F3ADB63"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传统知识</w:t>
      </w:r>
      <w:r w:rsidRPr="00BE595B">
        <w:rPr>
          <w:rFonts w:ascii="SimSun" w:hAnsi="SimSun" w:hint="eastAsia"/>
          <w:sz w:val="21"/>
          <w:szCs w:val="21"/>
        </w:rPr>
        <w:t>领域，产权组织启动了新技术和土著人民项目，以应对包括人工智能在内的新技术的快速发展，这些技术往往超出监管和道德框架。监管和道德框架方面的差距可能会使土著人民和当地社区面临潜在的不当披露、滥用或歪曲其知识体系、文化挪用和强化现有偏见的风险。此外，新技术还可以促进土著语言、传统知识和传统文化表现形式的数字化、记录和保存，从而加强土著人民和当地社区的权利和利益。该项目旨在增强土著人民和当地社区以创新方式使用新技术的能力，促进实现具体目标8.3和10.2。</w:t>
      </w:r>
    </w:p>
    <w:p w14:paraId="5A39832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产权组织关于土著人民、传统文化表现形式和时尚的高级别对话</w:t>
      </w:r>
      <w:r w:rsidRPr="001E4AB5">
        <w:rPr>
          <w:rFonts w:asciiTheme="minorEastAsia" w:eastAsiaTheme="minorEastAsia" w:hAnsiTheme="minorEastAsia"/>
          <w:sz w:val="21"/>
          <w:szCs w:val="21"/>
        </w:rPr>
        <w:t>（</w:t>
      </w:r>
      <w:r w:rsidRPr="00BE595B">
        <w:rPr>
          <w:rFonts w:ascii="SimSun" w:hAnsi="SimSun"/>
          <w:sz w:val="21"/>
          <w:szCs w:val="21"/>
        </w:rPr>
        <w:t>时尚对话</w:t>
      </w:r>
      <w:r w:rsidRPr="001E4AB5">
        <w:rPr>
          <w:rFonts w:asciiTheme="minorEastAsia" w:eastAsiaTheme="minorEastAsia" w:hAnsiTheme="minorEastAsia"/>
          <w:sz w:val="21"/>
          <w:szCs w:val="21"/>
        </w:rPr>
        <w:t>）</w:t>
      </w:r>
      <w:r w:rsidRPr="00BE595B">
        <w:rPr>
          <w:rFonts w:ascii="SimSun" w:hAnsi="SimSun"/>
          <w:sz w:val="21"/>
          <w:szCs w:val="21"/>
        </w:rPr>
        <w:t>为时尚界和土著人民之间深化对话和建立信任提供了机会，并探索了时装公司、土著人民和族裔群体之间合作的前瞻性方式。该活动支持了经济增长，减少了不平等现象，有助于建立伙伴关系，同时促进实现具体目标8.3、10.2、17.6、17.9和17.17。</w:t>
      </w:r>
    </w:p>
    <w:p w14:paraId="192C4FA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专利和技术</w:t>
      </w:r>
      <w:r w:rsidRPr="00BE595B">
        <w:rPr>
          <w:rFonts w:ascii="SimSun" w:hAnsi="SimSun"/>
          <w:sz w:val="21"/>
          <w:szCs w:val="21"/>
        </w:rPr>
        <w:t>领域，产权组织向成员国提供了有关专利、实用新型、集成电路布图设计和商业秘密的立法援助。这包括对提交审查的草案进行评论，或制定新的草案</w:t>
      </w:r>
      <w:r w:rsidRPr="001E4AB5">
        <w:rPr>
          <w:rFonts w:asciiTheme="minorEastAsia" w:eastAsiaTheme="minorEastAsia" w:hAnsiTheme="minorEastAsia"/>
          <w:sz w:val="21"/>
          <w:szCs w:val="21"/>
        </w:rPr>
        <w:t>（</w:t>
      </w:r>
      <w:r w:rsidRPr="00BE595B">
        <w:rPr>
          <w:rFonts w:ascii="SimSun" w:hAnsi="SimSun"/>
          <w:sz w:val="21"/>
          <w:szCs w:val="21"/>
        </w:rPr>
        <w:t>法律、实施细则、行政指示和手册</w:t>
      </w:r>
      <w:r w:rsidRPr="001E4AB5">
        <w:rPr>
          <w:rFonts w:asciiTheme="minorEastAsia" w:eastAsiaTheme="minorEastAsia" w:hAnsiTheme="minorEastAsia"/>
          <w:sz w:val="21"/>
          <w:szCs w:val="21"/>
        </w:rPr>
        <w:t>）</w:t>
      </w:r>
      <w:r w:rsidRPr="00BE595B">
        <w:rPr>
          <w:rFonts w:ascii="SimSun" w:hAnsi="SimSun"/>
          <w:sz w:val="21"/>
          <w:szCs w:val="21"/>
        </w:rPr>
        <w:t>。2023年，产权组织在上述领域向19个发展中国家和转型期国家</w:t>
      </w:r>
      <w:r w:rsidRPr="001E4AB5">
        <w:rPr>
          <w:rFonts w:asciiTheme="minorEastAsia" w:eastAsiaTheme="minorEastAsia" w:hAnsiTheme="minorEastAsia"/>
          <w:sz w:val="21"/>
          <w:szCs w:val="21"/>
        </w:rPr>
        <w:t>（</w:t>
      </w:r>
      <w:r w:rsidRPr="00BE595B">
        <w:rPr>
          <w:rFonts w:ascii="SimSun" w:hAnsi="SimSun"/>
          <w:sz w:val="21"/>
          <w:szCs w:val="21"/>
        </w:rPr>
        <w:t>非洲地区两个，亚洲及太平洋地区五个，拉丁美洲和加勒比地区六个，欧洲/欧亚地区三个，阿拉伯地区三个</w:t>
      </w:r>
      <w:r w:rsidRPr="001E4AB5">
        <w:rPr>
          <w:rFonts w:asciiTheme="minorEastAsia" w:eastAsiaTheme="minorEastAsia" w:hAnsiTheme="minorEastAsia"/>
          <w:sz w:val="21"/>
          <w:szCs w:val="21"/>
        </w:rPr>
        <w:t>）</w:t>
      </w:r>
      <w:r w:rsidRPr="00BE595B">
        <w:rPr>
          <w:rFonts w:ascii="SimSun" w:hAnsi="SimSun"/>
          <w:sz w:val="21"/>
          <w:szCs w:val="21"/>
        </w:rPr>
        <w:t>提供立法和政策咨询。这种立法援助是根据提出请求的成员国自身的发展水平、政策优先事项和国际义务量身定制的，并支持它们制定或修改本国的立法和政策框架。这项活动促进实现具体目标8.3以及具体目标9.a和9.b。</w:t>
      </w:r>
    </w:p>
    <w:p w14:paraId="1AFF16DE"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10月16日至20日，专利法常设委员会第三十五届会议于以混合形式举行。专利法常设委员继续充当就专利法的渐进国际发展问题开展讨论、促进协调和提供指导的论坛。专利法常设委员的工作有助于减少成员国在复杂的专利法领域的信息不对称，并为成员国制定和发展本国的专利政策、法律和做法的决策过程提供信息。专利法常设委员的工作促进实现具体目标8.3以及具体9.b、16.6和17.16。</w:t>
      </w:r>
    </w:p>
    <w:p w14:paraId="3E6E2C09"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也为《巴黎公约》、《专利法条约》和《布达佩斯条约》的未来和现有缔约方提供支持，例如提供有关这些条约的法律、技术和制度方面的信息，促进成员国和和《布达佩斯条约》规定的国际保存机构之间分享国家实施条约的经验。</w:t>
      </w:r>
    </w:p>
    <w:p w14:paraId="3B940227" w14:textId="7C6D0E6D"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基础设施和平台</w:t>
      </w:r>
      <w:r w:rsidRPr="00BE595B">
        <w:rPr>
          <w:rFonts w:ascii="SimSun" w:hAnsi="SimSun"/>
          <w:sz w:val="21"/>
          <w:szCs w:val="21"/>
        </w:rPr>
        <w:t>方面，WIPO PATENTSCOPE的开发和免费使用推广了申请专利的发明人与全世界任何技术相关方之间的技术转让知识，减少了研发的重复，促进了开放创新。开发和免费使用WIPO Translate</w:t>
      </w:r>
      <w:r w:rsidRPr="001E4AB5">
        <w:rPr>
          <w:rFonts w:asciiTheme="minorEastAsia" w:eastAsiaTheme="minorEastAsia" w:hAnsiTheme="minorEastAsia"/>
          <w:sz w:val="21"/>
          <w:szCs w:val="21"/>
        </w:rPr>
        <w:t>（</w:t>
      </w:r>
      <w:r w:rsidRPr="00BE595B">
        <w:rPr>
          <w:rFonts w:ascii="SimSun" w:hAnsi="SimSun"/>
          <w:sz w:val="21"/>
          <w:szCs w:val="21"/>
        </w:rPr>
        <w:t>已纳入PATENTSCOPE</w:t>
      </w:r>
      <w:r w:rsidRPr="001E4AB5">
        <w:rPr>
          <w:rFonts w:asciiTheme="minorEastAsia" w:eastAsiaTheme="minorEastAsia" w:hAnsiTheme="minorEastAsia"/>
          <w:sz w:val="21"/>
          <w:szCs w:val="21"/>
        </w:rPr>
        <w:t>）</w:t>
      </w:r>
      <w:r w:rsidRPr="00BE595B">
        <w:rPr>
          <w:rFonts w:ascii="SimSun" w:hAnsi="SimSun"/>
          <w:sz w:val="21"/>
          <w:szCs w:val="21"/>
        </w:rPr>
        <w:t>还有助于减少13种不同语文的专利公开中所包含的技术信息转让知识方面的语言障碍。PATENTSCOPE促进实现具体目标8.2和9.c。</w:t>
      </w:r>
    </w:p>
    <w:p w14:paraId="40CE2797"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产权组织还继续为知识产权局提供数字转型方面的援助。这包括产权组织的知识产权办公套件，其主要组成部分是产权组织工业产权管理系统</w:t>
      </w:r>
      <w:r w:rsidRPr="001E4AB5">
        <w:rPr>
          <w:rFonts w:asciiTheme="minorEastAsia" w:eastAsiaTheme="minorEastAsia" w:hAnsiTheme="minorEastAsia"/>
          <w:sz w:val="21"/>
          <w:szCs w:val="21"/>
        </w:rPr>
        <w:t>（</w:t>
      </w:r>
      <w:r w:rsidRPr="00BE595B">
        <w:rPr>
          <w:rFonts w:ascii="SimSun" w:hAnsi="SimSun"/>
          <w:sz w:val="21"/>
          <w:szCs w:val="21"/>
        </w:rPr>
        <w:t>IPAS</w:t>
      </w:r>
      <w:r w:rsidRPr="001E4AB5">
        <w:rPr>
          <w:rFonts w:asciiTheme="minorEastAsia" w:eastAsiaTheme="minorEastAsia" w:hAnsiTheme="minorEastAsia"/>
          <w:sz w:val="21"/>
          <w:szCs w:val="21"/>
        </w:rPr>
        <w:t>）</w:t>
      </w:r>
      <w:r w:rsidRPr="00BE595B">
        <w:rPr>
          <w:rFonts w:ascii="SimSun" w:hAnsi="SimSun"/>
          <w:sz w:val="21"/>
          <w:szCs w:val="21"/>
        </w:rPr>
        <w:t>。该系统为专利、商标和工业品外观设计的处理提供支持，从申请到授予权利和授予后的程序都是如此。此外，产权组织档案使各知识产权局能够向申请人和代理人提供全面的在线服务，产权组织出版使各知识产权局能够向用户和产权组织全球知识产权数据库和平台在线传播官方出版信息和相关知识产权信息。这些措施提供了高效、可靠的数据交换，使各知识产权局与产权组织全球知识产权体系相互连接，并为申请人、知识产权局和公众提供数据。</w:t>
      </w:r>
    </w:p>
    <w:p w14:paraId="687DF2F4"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版权和创意产业</w:t>
      </w:r>
      <w:r w:rsidRPr="00BE595B">
        <w:rPr>
          <w:rFonts w:ascii="SimSun" w:hAnsi="SimSun"/>
          <w:sz w:val="21"/>
          <w:szCs w:val="21"/>
        </w:rPr>
        <w:t>领域，产权组织举办了一系列关于版权基础设施的</w:t>
      </w:r>
      <w:hyperlink r:id="rId44" w:history="1">
        <w:r w:rsidRPr="00BE595B">
          <w:rPr>
            <w:rStyle w:val="Hyperlink"/>
            <w:rFonts w:ascii="SimSun" w:hAnsi="SimSun"/>
            <w:sz w:val="21"/>
            <w:szCs w:val="21"/>
          </w:rPr>
          <w:t>网络研讨会</w:t>
        </w:r>
      </w:hyperlink>
      <w:r w:rsidRPr="00BE595B">
        <w:rPr>
          <w:rFonts w:ascii="SimSun" w:hAnsi="SimSun"/>
          <w:sz w:val="21"/>
          <w:szCs w:val="21"/>
        </w:rPr>
        <w:t>，以提高对元数据、标识符和技术解决方案等与版权基础设施有关的一系列主题的认识。版权基础设施对于确保版权人在数字时代因其创作作品被使用而获得公平的报酬至关重要。因此，该系列研讨会旨在推行支持创造力的、以发展为导向的政策，鼓励中小微企业实现正规化并成长壮大。该系列研讨会由来自公共和私营部门的发言者主讲。2023年，共组织了8次网络研讨会。该系列研讨会促进实现具体目标8.3。</w:t>
      </w:r>
    </w:p>
    <w:p w14:paraId="6C15C266"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产权组织关于</w:t>
      </w:r>
      <w:r w:rsidRPr="001E4AB5">
        <w:rPr>
          <w:rFonts w:asciiTheme="minorEastAsia" w:eastAsiaTheme="minorEastAsia" w:hAnsiTheme="minorEastAsia"/>
          <w:sz w:val="21"/>
          <w:szCs w:val="21"/>
        </w:rPr>
        <w:t>“</w:t>
      </w:r>
      <w:hyperlink r:id="rId45" w:history="1">
        <w:r w:rsidRPr="00BE595B">
          <w:rPr>
            <w:rFonts w:ascii="SimSun" w:hAnsi="SimSun"/>
            <w:sz w:val="21"/>
            <w:szCs w:val="21"/>
          </w:rPr>
          <w:t>文本和图像作品的集体管理</w:t>
        </w:r>
      </w:hyperlink>
      <w:r w:rsidRPr="001E4AB5">
        <w:rPr>
          <w:rFonts w:asciiTheme="minorEastAsia" w:eastAsiaTheme="minorEastAsia" w:hAnsiTheme="minorEastAsia"/>
          <w:sz w:val="21"/>
          <w:szCs w:val="21"/>
        </w:rPr>
        <w:t>”</w:t>
      </w:r>
      <w:r w:rsidRPr="00BE595B">
        <w:rPr>
          <w:rFonts w:ascii="SimSun" w:hAnsi="SimSun"/>
          <w:sz w:val="21"/>
          <w:szCs w:val="21"/>
        </w:rPr>
        <w:t>的出版物对文本和图像领域的版权集体管理进行了总体描述，对世界不同地区的立法框架和国家运作体系提供了深刻见解。该出版物促进实现具体目标8.3。</w:t>
      </w:r>
    </w:p>
    <w:p w14:paraId="4DEDC17D"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6月12日至13日举行了流媒体时代的视听产业研讨会，该研讨会提供了有关视听产业最新发展的宝贵信息，以及各国政府为确保当地视听产业和创作者受益于全球视听市场而采取的办法。还强调了妇女参与视听产业的情况。该研讨会促进实现具体目标8.3和8.9。</w:t>
      </w:r>
    </w:p>
    <w:p w14:paraId="5BD4330D" w14:textId="2BFB4BF2"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产权组织认识到中小企业在创造力和创新生态系统中发挥着重要作用，协助成员国实施</w:t>
      </w:r>
      <w:r w:rsidRPr="00BE595B">
        <w:rPr>
          <w:rFonts w:ascii="SimSun" w:hAnsi="SimSun"/>
          <w:b/>
          <w:sz w:val="21"/>
          <w:szCs w:val="21"/>
        </w:rPr>
        <w:t>企业知识产权</w:t>
      </w:r>
      <w:r w:rsidRPr="00BE595B">
        <w:rPr>
          <w:rFonts w:ascii="SimSun" w:hAnsi="SimSun"/>
          <w:sz w:val="21"/>
          <w:szCs w:val="21"/>
        </w:rPr>
        <w:t>工具和材料。2023年，四份知识产权企业指南进行了改编，以适应OAPI成员国</w:t>
      </w:r>
      <w:r w:rsidRPr="001E4AB5">
        <w:rPr>
          <w:rFonts w:asciiTheme="minorEastAsia" w:eastAsiaTheme="minorEastAsia" w:hAnsiTheme="minorEastAsia"/>
          <w:sz w:val="21"/>
          <w:szCs w:val="21"/>
        </w:rPr>
        <w:t>（</w:t>
      </w:r>
      <w:r w:rsidRPr="00BE595B">
        <w:rPr>
          <w:rFonts w:ascii="SimSun" w:hAnsi="SimSun"/>
          <w:sz w:val="21"/>
          <w:szCs w:val="21"/>
        </w:rPr>
        <w:t>阿尔及利亚、印度尼西亚、摩洛哥、沙特阿拉伯、泰国和越南</w:t>
      </w:r>
      <w:r w:rsidRPr="001E4AB5">
        <w:rPr>
          <w:rFonts w:asciiTheme="minorEastAsia" w:eastAsiaTheme="minorEastAsia" w:hAnsiTheme="minorEastAsia"/>
          <w:sz w:val="21"/>
          <w:szCs w:val="21"/>
        </w:rPr>
        <w:t>）</w:t>
      </w:r>
      <w:r w:rsidRPr="00BE595B">
        <w:rPr>
          <w:rFonts w:ascii="SimSun" w:hAnsi="SimSun"/>
          <w:sz w:val="21"/>
          <w:szCs w:val="21"/>
        </w:rPr>
        <w:t>的国家法律、监管和程序情况：i)</w:t>
      </w:r>
      <w:hyperlink r:id="rId46" w:history="1">
        <w:r w:rsidRPr="00BE595B">
          <w:rPr>
            <w:rStyle w:val="Hyperlink"/>
            <w:rFonts w:ascii="SimSun" w:hAnsi="SimSun"/>
            <w:sz w:val="21"/>
            <w:szCs w:val="21"/>
          </w:rPr>
          <w:t>《创业理念》</w:t>
        </w:r>
      </w:hyperlink>
      <w:r w:rsidRPr="00BE595B">
        <w:rPr>
          <w:rFonts w:ascii="SimSun" w:hAnsi="SimSun"/>
          <w:sz w:val="21"/>
          <w:szCs w:val="21"/>
        </w:rPr>
        <w:t>；ii</w:t>
      </w:r>
      <w:r w:rsidRPr="001E4AB5">
        <w:rPr>
          <w:rFonts w:asciiTheme="minorEastAsia" w:eastAsiaTheme="minorEastAsia" w:hAnsiTheme="minorEastAsia"/>
          <w:sz w:val="21"/>
          <w:szCs w:val="21"/>
        </w:rPr>
        <w:t>）</w:t>
      </w:r>
      <w:hyperlink r:id="rId47" w:history="1">
        <w:r w:rsidRPr="00BE595B">
          <w:rPr>
            <w:rStyle w:val="Hyperlink"/>
            <w:rFonts w:ascii="SimSun" w:hAnsi="SimSun"/>
            <w:sz w:val="21"/>
            <w:szCs w:val="21"/>
          </w:rPr>
          <w:t>《注重外观》</w:t>
        </w:r>
      </w:hyperlink>
      <w:r w:rsidRPr="00BE595B">
        <w:rPr>
          <w:rFonts w:ascii="SimSun" w:hAnsi="SimSun"/>
          <w:sz w:val="21"/>
          <w:szCs w:val="21"/>
        </w:rPr>
        <w:t>；iii</w:t>
      </w:r>
      <w:r w:rsidRPr="001E4AB5">
        <w:rPr>
          <w:rFonts w:asciiTheme="minorEastAsia" w:eastAsiaTheme="minorEastAsia" w:hAnsiTheme="minorEastAsia"/>
          <w:sz w:val="21"/>
          <w:szCs w:val="21"/>
        </w:rPr>
        <w:t>）</w:t>
      </w:r>
      <w:hyperlink r:id="rId48" w:history="1">
        <w:r w:rsidRPr="00BE595B">
          <w:rPr>
            <w:rStyle w:val="Hyperlink"/>
            <w:rFonts w:ascii="SimSun" w:hAnsi="SimSun"/>
            <w:sz w:val="21"/>
            <w:szCs w:val="21"/>
          </w:rPr>
          <w:t>《创造一个商标》</w:t>
        </w:r>
      </w:hyperlink>
      <w:r w:rsidRPr="00BE595B">
        <w:rPr>
          <w:rFonts w:ascii="SimSun" w:hAnsi="SimSun"/>
          <w:sz w:val="21"/>
          <w:szCs w:val="21"/>
        </w:rPr>
        <w:t>；iv</w:t>
      </w:r>
      <w:r w:rsidRPr="001E4AB5">
        <w:rPr>
          <w:rFonts w:asciiTheme="minorEastAsia" w:eastAsiaTheme="minorEastAsia" w:hAnsiTheme="minorEastAsia"/>
          <w:sz w:val="21"/>
          <w:szCs w:val="21"/>
        </w:rPr>
        <w:t>）</w:t>
      </w:r>
      <w:hyperlink r:id="rId49" w:history="1">
        <w:r w:rsidRPr="00BE595B">
          <w:rPr>
            <w:rStyle w:val="Hyperlink"/>
            <w:rFonts w:ascii="SimSun" w:hAnsi="SimSun"/>
            <w:sz w:val="21"/>
            <w:szCs w:val="21"/>
          </w:rPr>
          <w:t>《发明未来》</w:t>
        </w:r>
      </w:hyperlink>
      <w:r w:rsidRPr="00BE595B">
        <w:rPr>
          <w:rFonts w:ascii="SimSun" w:hAnsi="SimSun"/>
          <w:sz w:val="21"/>
          <w:szCs w:val="21"/>
        </w:rPr>
        <w:t>。《创业理念》指南也进行了改编，以适应保加利亚和塞尔维亚的国家法律、监管和程序情况，柬埔寨、匈牙利、立陶宛、波兰和斯洛文尼亚的改编版正在定稿中。</w:t>
      </w:r>
      <w:hyperlink r:id="rId50" w:history="1">
        <w:r w:rsidRPr="00BE595B">
          <w:rPr>
            <w:rStyle w:val="Hyperlink"/>
            <w:rFonts w:ascii="SimSun" w:hAnsi="SimSun"/>
            <w:sz w:val="21"/>
            <w:szCs w:val="21"/>
          </w:rPr>
          <w:t>产权组织知识产权诊断</w:t>
        </w:r>
      </w:hyperlink>
      <w:r w:rsidRPr="00BE595B">
        <w:rPr>
          <w:rFonts w:ascii="SimSun" w:hAnsi="SimSun"/>
          <w:sz w:val="21"/>
          <w:szCs w:val="21"/>
        </w:rPr>
        <w:t>工具有21,500名访问者使用，产生了3,000多份报告。该工具被翻译成阿尔巴尼亚语、保加利亚语、葡萄牙语和斯瓦希里语等非联合国语言。该工具也进行了改编，以适应OAPI成员国</w:t>
      </w:r>
      <w:r w:rsidRPr="001E4AB5">
        <w:rPr>
          <w:rFonts w:asciiTheme="minorEastAsia" w:eastAsiaTheme="minorEastAsia" w:hAnsiTheme="minorEastAsia"/>
          <w:sz w:val="21"/>
          <w:szCs w:val="21"/>
        </w:rPr>
        <w:t>（</w:t>
      </w:r>
      <w:r w:rsidRPr="00BE595B">
        <w:rPr>
          <w:rFonts w:ascii="SimSun" w:hAnsi="SimSun"/>
          <w:sz w:val="21"/>
          <w:szCs w:val="21"/>
        </w:rPr>
        <w:t>法语</w:t>
      </w:r>
      <w:r w:rsidRPr="001E4AB5">
        <w:rPr>
          <w:rFonts w:asciiTheme="minorEastAsia" w:eastAsiaTheme="minorEastAsia" w:hAnsiTheme="minorEastAsia"/>
          <w:sz w:val="21"/>
          <w:szCs w:val="21"/>
        </w:rPr>
        <w:t>）</w:t>
      </w:r>
      <w:r w:rsidRPr="00BE595B">
        <w:rPr>
          <w:rFonts w:ascii="SimSun" w:hAnsi="SimSun"/>
          <w:sz w:val="21"/>
          <w:szCs w:val="21"/>
        </w:rPr>
        <w:t>和印度</w:t>
      </w:r>
      <w:r w:rsidRPr="001E4AB5">
        <w:rPr>
          <w:rFonts w:asciiTheme="minorEastAsia" w:eastAsiaTheme="minorEastAsia" w:hAnsiTheme="minorEastAsia"/>
          <w:sz w:val="21"/>
          <w:szCs w:val="21"/>
        </w:rPr>
        <w:t>（</w:t>
      </w:r>
      <w:r w:rsidRPr="00BE595B">
        <w:rPr>
          <w:rFonts w:ascii="SimSun" w:hAnsi="SimSun"/>
          <w:sz w:val="21"/>
          <w:szCs w:val="21"/>
        </w:rPr>
        <w:t>英语</w:t>
      </w:r>
      <w:r w:rsidRPr="001E4AB5">
        <w:rPr>
          <w:rFonts w:asciiTheme="minorEastAsia" w:eastAsiaTheme="minorEastAsia" w:hAnsiTheme="minorEastAsia"/>
          <w:sz w:val="21"/>
          <w:szCs w:val="21"/>
        </w:rPr>
        <w:t>）</w:t>
      </w:r>
      <w:r w:rsidRPr="00BE595B">
        <w:rPr>
          <w:rFonts w:ascii="SimSun" w:hAnsi="SimSun"/>
          <w:sz w:val="21"/>
          <w:szCs w:val="21"/>
        </w:rPr>
        <w:t>的法律、监管和程序情况。还进一步推出了针对出版商的行业改编版。知识产权管理诊所项目惠及来自28个国家的170家中小型企业，这些企业专注于农业、人工智能和商业、手工艺、电子商务、教育、特许经营、绿色技术、卫生技术、生物技术和医疗技术以及制造业。这些活动促进实现具体目标8.3。2023年12月举行了三期题为</w:t>
      </w:r>
      <w:r w:rsidRPr="001E4AB5">
        <w:rPr>
          <w:rFonts w:asciiTheme="minorEastAsia" w:eastAsiaTheme="minorEastAsia" w:hAnsiTheme="minorEastAsia"/>
          <w:sz w:val="21"/>
          <w:szCs w:val="21"/>
        </w:rPr>
        <w:t>“</w:t>
      </w:r>
      <w:r w:rsidRPr="00B83704">
        <w:rPr>
          <w:rFonts w:ascii="SimSun" w:hAnsi="SimSun"/>
          <w:sz w:val="21"/>
          <w:szCs w:val="21"/>
        </w:rPr>
        <w:t>知识产权管理和产权组织助力企业的工具和资源介绍</w:t>
      </w:r>
      <w:r w:rsidRPr="001E4AB5">
        <w:rPr>
          <w:rFonts w:asciiTheme="minorEastAsia" w:eastAsiaTheme="minorEastAsia" w:hAnsiTheme="minorEastAsia"/>
          <w:sz w:val="21"/>
          <w:szCs w:val="21"/>
        </w:rPr>
        <w:t>”</w:t>
      </w:r>
      <w:r w:rsidRPr="00BE595B">
        <w:rPr>
          <w:rFonts w:ascii="SimSun" w:hAnsi="SimSun"/>
          <w:sz w:val="21"/>
          <w:szCs w:val="21"/>
        </w:rPr>
        <w:t>的区域虚拟讲习班。这促进实现具体目标8.3。</w:t>
      </w:r>
    </w:p>
    <w:p w14:paraId="729A66A5"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合作促进发展</w:t>
      </w:r>
      <w:r w:rsidRPr="00BE595B">
        <w:rPr>
          <w:rFonts w:ascii="SimSun" w:hAnsi="SimSun"/>
          <w:sz w:val="21"/>
          <w:szCs w:val="21"/>
        </w:rPr>
        <w:t>领域，CDIP在</w:t>
      </w:r>
      <w:r w:rsidRPr="001E4AB5">
        <w:rPr>
          <w:rFonts w:asciiTheme="minorEastAsia" w:eastAsiaTheme="minorEastAsia" w:hAnsiTheme="minorEastAsia"/>
          <w:sz w:val="21"/>
          <w:szCs w:val="21"/>
        </w:rPr>
        <w:t>“</w:t>
      </w:r>
      <w:r w:rsidRPr="00BE595B">
        <w:rPr>
          <w:rFonts w:ascii="SimSun" w:hAnsi="SimSun"/>
          <w:sz w:val="21"/>
          <w:szCs w:val="21"/>
        </w:rPr>
        <w:t>知识产权与发展</w:t>
      </w:r>
      <w:r w:rsidRPr="001E4AB5">
        <w:rPr>
          <w:rFonts w:asciiTheme="minorEastAsia" w:eastAsiaTheme="minorEastAsia" w:hAnsiTheme="minorEastAsia"/>
          <w:sz w:val="21"/>
          <w:szCs w:val="21"/>
        </w:rPr>
        <w:t>”</w:t>
      </w:r>
      <w:r w:rsidRPr="00BE595B">
        <w:rPr>
          <w:rFonts w:ascii="SimSun" w:hAnsi="SimSun"/>
          <w:sz w:val="21"/>
          <w:szCs w:val="21"/>
        </w:rPr>
        <w:t>议程项目下讨论了成员国提出并商定的议题。这一议程项目成为深入讨论所选议题以及产权组织在该领域现有工作和未来方向的平台。其还为成员国提供了一个机会，以分享其国家经验、以发展为导向的政策、成功举措、吸取的教训，以及成员国对产权组织组织在知识产权各领域的工作和技术援助的期望。在2023年4月24日至28日举行的第三十届会议期间，委员会讨论了议题</w:t>
      </w:r>
      <w:r w:rsidRPr="001E4AB5">
        <w:rPr>
          <w:rFonts w:asciiTheme="minorEastAsia" w:eastAsiaTheme="minorEastAsia" w:hAnsiTheme="minorEastAsia"/>
          <w:sz w:val="21"/>
          <w:szCs w:val="21"/>
        </w:rPr>
        <w:t>“</w:t>
      </w:r>
      <w:r w:rsidRPr="00B83704">
        <w:rPr>
          <w:rFonts w:ascii="SimSun" w:hAnsi="SimSun"/>
          <w:sz w:val="21"/>
          <w:szCs w:val="21"/>
        </w:rPr>
        <w:t>知识产权与青年：投资未来</w:t>
      </w:r>
      <w:r w:rsidRPr="001E4AB5">
        <w:rPr>
          <w:rFonts w:asciiTheme="minorEastAsia" w:eastAsiaTheme="minorEastAsia" w:hAnsiTheme="minorEastAsia"/>
          <w:sz w:val="21"/>
          <w:szCs w:val="21"/>
        </w:rPr>
        <w:t>”</w:t>
      </w:r>
      <w:r w:rsidRPr="00BE595B">
        <w:rPr>
          <w:rFonts w:ascii="SimSun" w:hAnsi="SimSun"/>
          <w:sz w:val="21"/>
          <w:szCs w:val="21"/>
        </w:rPr>
        <w:t>，并重新审议了议题</w:t>
      </w:r>
      <w:r w:rsidRPr="001E4AB5">
        <w:rPr>
          <w:rFonts w:asciiTheme="minorEastAsia" w:eastAsiaTheme="minorEastAsia" w:hAnsiTheme="minorEastAsia"/>
          <w:sz w:val="21"/>
          <w:szCs w:val="21"/>
        </w:rPr>
        <w:t>“</w:t>
      </w:r>
      <w:r w:rsidRPr="00B83704">
        <w:rPr>
          <w:rFonts w:ascii="SimSun" w:hAnsi="SimSun"/>
          <w:sz w:val="21"/>
          <w:szCs w:val="21"/>
        </w:rPr>
        <w:t>妇女与知识产权</w:t>
      </w:r>
      <w:r w:rsidRPr="001E4AB5">
        <w:rPr>
          <w:rFonts w:asciiTheme="minorEastAsia" w:eastAsiaTheme="minorEastAsia" w:hAnsiTheme="minorEastAsia"/>
          <w:sz w:val="21"/>
          <w:szCs w:val="21"/>
        </w:rPr>
        <w:t>”</w:t>
      </w:r>
      <w:r w:rsidRPr="00BE595B">
        <w:rPr>
          <w:rFonts w:ascii="SimSun" w:hAnsi="SimSun"/>
          <w:sz w:val="21"/>
          <w:szCs w:val="21"/>
        </w:rPr>
        <w:t>。在2023年11月27日至12月1日举行的第三十一届会议上，委员会讨论了议题</w:t>
      </w:r>
      <w:r w:rsidRPr="001E4AB5">
        <w:rPr>
          <w:rFonts w:asciiTheme="minorEastAsia" w:eastAsiaTheme="minorEastAsia" w:hAnsiTheme="minorEastAsia"/>
          <w:sz w:val="21"/>
          <w:szCs w:val="21"/>
        </w:rPr>
        <w:t>“</w:t>
      </w:r>
      <w:r w:rsidRPr="00B83704">
        <w:rPr>
          <w:rFonts w:ascii="SimSun" w:hAnsi="SimSun"/>
          <w:sz w:val="21"/>
          <w:szCs w:val="21"/>
        </w:rPr>
        <w:t>应对气候变化：知识产权助力实现碳达峰和碳中和目标</w:t>
      </w:r>
      <w:r w:rsidRPr="001E4AB5">
        <w:rPr>
          <w:rFonts w:asciiTheme="minorEastAsia" w:eastAsiaTheme="minorEastAsia" w:hAnsiTheme="minorEastAsia"/>
          <w:sz w:val="21"/>
          <w:szCs w:val="21"/>
        </w:rPr>
        <w:t>”</w:t>
      </w:r>
      <w:r w:rsidRPr="00BE595B">
        <w:rPr>
          <w:rFonts w:ascii="SimSun" w:hAnsi="SimSun"/>
          <w:sz w:val="21"/>
          <w:szCs w:val="21"/>
        </w:rPr>
        <w:t>，并商定了将在今后的会议上讨论的三个议题。在本报告所述期间，CDIP批准了七个新的项目提案，使截至2023年底批准的发展议程项目总数增加至55个。CDIP的这项工作促进实现具体目标8.3以及具体目标17.16和17.7。</w:t>
      </w:r>
    </w:p>
    <w:p w14:paraId="2258974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发展议程项目</w:t>
      </w:r>
      <w:r w:rsidRPr="008B7D33">
        <w:rPr>
          <w:rFonts w:asciiTheme="minorEastAsia" w:eastAsiaTheme="minorEastAsia" w:hAnsiTheme="minorEastAsia"/>
          <w:sz w:val="21"/>
          <w:szCs w:val="21"/>
        </w:rPr>
        <w:t>“</w:t>
      </w:r>
      <w:hyperlink r:id="rId51" w:history="1">
        <w:r w:rsidRPr="00BE595B">
          <w:rPr>
            <w:rStyle w:val="Hyperlink"/>
            <w:rFonts w:ascii="SimSun" w:hAnsi="SimSun"/>
            <w:sz w:val="21"/>
            <w:szCs w:val="21"/>
          </w:rPr>
          <w:t>将当地企业集体商标注册作为跨领域经济发展问题</w:t>
        </w:r>
      </w:hyperlink>
      <w:r w:rsidRPr="008B7D33">
        <w:rPr>
          <w:rFonts w:asciiTheme="minorEastAsia" w:eastAsiaTheme="minorEastAsia" w:hAnsiTheme="minorEastAsia"/>
          <w:sz w:val="21"/>
          <w:szCs w:val="21"/>
        </w:rPr>
        <w:t>”</w:t>
      </w:r>
      <w:r w:rsidRPr="00BE595B">
        <w:rPr>
          <w:rFonts w:ascii="SimSun" w:hAnsi="SimSun"/>
          <w:sz w:val="21"/>
          <w:szCs w:val="21"/>
        </w:rPr>
        <w:t>为四个受益国</w:t>
      </w:r>
      <w:r w:rsidRPr="001E4AB5">
        <w:rPr>
          <w:rFonts w:asciiTheme="minorEastAsia" w:eastAsiaTheme="minorEastAsia" w:hAnsiTheme="minorEastAsia"/>
          <w:sz w:val="21"/>
          <w:szCs w:val="21"/>
        </w:rPr>
        <w:t>（</w:t>
      </w:r>
      <w:r w:rsidR="002D3F20" w:rsidRPr="00BE595B">
        <w:rPr>
          <w:rFonts w:ascii="SimSun" w:hAnsi="SimSun"/>
          <w:sz w:val="21"/>
          <w:szCs w:val="21"/>
        </w:rPr>
        <w:t>巴西、菲律宾</w:t>
      </w:r>
      <w:r w:rsidR="007337D0" w:rsidRPr="00BE595B">
        <w:rPr>
          <w:rFonts w:ascii="SimSun" w:hAnsi="SimSun" w:hint="eastAsia"/>
          <w:sz w:val="21"/>
          <w:szCs w:val="21"/>
        </w:rPr>
        <w:t>、</w:t>
      </w:r>
      <w:r w:rsidRPr="00BE595B">
        <w:rPr>
          <w:rFonts w:ascii="SimSun" w:hAnsi="SimSun"/>
          <w:sz w:val="21"/>
          <w:szCs w:val="21"/>
        </w:rPr>
        <w:t>多民族玻利维亚国和突尼斯</w:t>
      </w:r>
      <w:r w:rsidRPr="001E4AB5">
        <w:rPr>
          <w:rFonts w:asciiTheme="minorEastAsia" w:eastAsiaTheme="minorEastAsia" w:hAnsiTheme="minorEastAsia"/>
          <w:sz w:val="21"/>
          <w:szCs w:val="21"/>
        </w:rPr>
        <w:t>）</w:t>
      </w:r>
      <w:r w:rsidRPr="00BE595B">
        <w:rPr>
          <w:rFonts w:ascii="SimSun" w:hAnsi="SimSun"/>
          <w:sz w:val="21"/>
          <w:szCs w:val="21"/>
        </w:rPr>
        <w:t>的当地企业使用集体商标提供了支持。实施战略的重点是为每个受益国的一个当地生产者群体开发和注册集体商标提供便利，以及开展能力建设活动和制作宣传材料。2023年，在所有四个受益国开发并注册了集体商标，并在</w:t>
      </w:r>
      <w:r w:rsidR="00395BA0" w:rsidRPr="00BE595B">
        <w:rPr>
          <w:rFonts w:ascii="SimSun" w:hAnsi="SimSun" w:hint="eastAsia"/>
          <w:sz w:val="21"/>
          <w:szCs w:val="21"/>
        </w:rPr>
        <w:t>巴西、</w:t>
      </w:r>
      <w:r w:rsidRPr="00BE595B">
        <w:rPr>
          <w:rFonts w:ascii="SimSun" w:hAnsi="SimSun"/>
          <w:sz w:val="21"/>
          <w:szCs w:val="21"/>
        </w:rPr>
        <w:t>菲律宾</w:t>
      </w:r>
      <w:r w:rsidR="00395BA0" w:rsidRPr="00BE595B">
        <w:rPr>
          <w:rFonts w:ascii="SimSun" w:hAnsi="SimSun" w:hint="eastAsia"/>
          <w:sz w:val="21"/>
          <w:szCs w:val="21"/>
        </w:rPr>
        <w:t>和</w:t>
      </w:r>
      <w:r w:rsidRPr="00BE595B">
        <w:rPr>
          <w:rFonts w:ascii="SimSun" w:hAnsi="SimSun"/>
          <w:sz w:val="21"/>
          <w:szCs w:val="21"/>
        </w:rPr>
        <w:t>突尼斯推出。玻利维亚的集体商标计划于2024年初推出。该项目促进实现具体目标8.3。</w:t>
      </w:r>
    </w:p>
    <w:p w14:paraId="0F7799D4"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bCs/>
          <w:sz w:val="21"/>
          <w:szCs w:val="21"/>
        </w:rPr>
      </w:pPr>
      <w:r w:rsidRPr="00BE595B">
        <w:rPr>
          <w:rFonts w:ascii="SimSun" w:hAnsi="SimSun"/>
          <w:b/>
          <w:sz w:val="21"/>
          <w:szCs w:val="21"/>
        </w:rPr>
        <w:t>WIPO学院</w:t>
      </w:r>
      <w:r w:rsidRPr="00BE595B">
        <w:rPr>
          <w:rFonts w:ascii="SimSun" w:hAnsi="SimSun"/>
          <w:bCs/>
          <w:sz w:val="21"/>
          <w:szCs w:val="21"/>
        </w:rPr>
        <w:t>促进实现具体目标8.6，例如，产权组织-安卡拉大学和产权组织-都灵大学的跟踪研究报告显示，知识产权硕士项目帮助校友在毕业后获得更好的工作或创造自己的工作。</w:t>
      </w:r>
    </w:p>
    <w:p w14:paraId="2ECAABB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为庆祝他们毕业，产权组织组织了两次知识产权硕士校友</w:t>
      </w:r>
      <w:hyperlink r:id="rId52" w:history="1">
        <w:r w:rsidRPr="00BE595B">
          <w:rPr>
            <w:rStyle w:val="Hyperlink"/>
            <w:rFonts w:ascii="SimSun" w:hAnsi="SimSun"/>
            <w:sz w:val="21"/>
            <w:szCs w:val="21"/>
          </w:rPr>
          <w:t>会议</w:t>
        </w:r>
      </w:hyperlink>
      <w:r w:rsidRPr="00BE595B">
        <w:rPr>
          <w:rFonts w:ascii="SimSun" w:hAnsi="SimSun"/>
          <w:sz w:val="21"/>
          <w:szCs w:val="21"/>
        </w:rPr>
        <w:t>，促进实现具体目标4.4、8.6和9.3。第一次会议与OAPI、雅温得二世大学和日本专利局合作，于2023年2月1日至2日在喀麦隆雅温得举行。这次会议旨在使100名毕业生和校友掌握实际利用知识产权开展业务的技能和诀窍，并建立法语国家知识产权专家网络。第二次会议是与ARIPO、非洲联盟</w:t>
      </w:r>
      <w:r w:rsidRPr="001E4AB5">
        <w:rPr>
          <w:rFonts w:asciiTheme="minorEastAsia" w:eastAsiaTheme="minorEastAsia" w:hAnsiTheme="minorEastAsia"/>
          <w:sz w:val="21"/>
          <w:szCs w:val="21"/>
        </w:rPr>
        <w:t>（</w:t>
      </w:r>
      <w:r w:rsidRPr="00BE595B">
        <w:rPr>
          <w:rFonts w:ascii="SimSun" w:hAnsi="SimSun"/>
          <w:sz w:val="21"/>
          <w:szCs w:val="21"/>
        </w:rPr>
        <w:t>非盟</w:t>
      </w:r>
      <w:r w:rsidRPr="001E4AB5">
        <w:rPr>
          <w:rFonts w:asciiTheme="minorEastAsia" w:eastAsiaTheme="minorEastAsia" w:hAnsiTheme="minorEastAsia"/>
          <w:sz w:val="21"/>
          <w:szCs w:val="21"/>
        </w:rPr>
        <w:t>）</w:t>
      </w:r>
      <w:r w:rsidRPr="00BE595B">
        <w:rPr>
          <w:rFonts w:ascii="SimSun" w:hAnsi="SimSun"/>
          <w:sz w:val="21"/>
          <w:szCs w:val="21"/>
        </w:rPr>
        <w:t>和日本专利局合作组织的，于2023年12月6日至7日在津巴布韦哈拉雷举行。本次会议旨在加强对人工智能和其他新兴技术趋势在创意产业、农业、研究、教育和非正规经济等知识产权相关领域重要性的认识，共有70人参加，包括来自这些领域的校友、知识产权专家和专业人士。</w:t>
      </w:r>
    </w:p>
    <w:p w14:paraId="75A9123B" w14:textId="7ECF752A"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产权组织还与其成员国密切合作，进行能力建设，加强人们对知识产权对提高社区企业竞争力的潜在贡献的认识。为此，2023年9月26日至28日举办了传统医学知识知识产权保护</w:t>
      </w:r>
      <w:hyperlink r:id="rId53" w:history="1">
        <w:r w:rsidRPr="00BE595B">
          <w:rPr>
            <w:rStyle w:val="Hyperlink"/>
            <w:rFonts w:ascii="SimSun" w:hAnsi="SimSun"/>
            <w:sz w:val="21"/>
            <w:szCs w:val="21"/>
          </w:rPr>
          <w:t>讲习班</w:t>
        </w:r>
      </w:hyperlink>
      <w:r w:rsidRPr="00BE595B">
        <w:rPr>
          <w:rFonts w:ascii="SimSun" w:hAnsi="SimSun"/>
          <w:sz w:val="21"/>
          <w:szCs w:val="21"/>
        </w:rPr>
        <w:t>，惠及10个非洲国家的传统医学从业人员。该讲习班旨在加强这些传统医学从业人员对与知识产权和传统医学知识相关的国际法律框架的了解，并分享传统医学知识的知识产权保护经验。该讲习班促进实现具体目标8.3以及具体目标4.4、9.3、9.b和10.2。</w:t>
      </w:r>
    </w:p>
    <w:p w14:paraId="4E026A42"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此外，2022年10月至2023年3月举办了为期6个月的青年创业和初创企业知识产权商业化指导和辅导项目，旨在通过为其企业制定有效的知识产权战略，为来自9个非洲国家的15家初创企业提供指导和支持。例如，这包括成功提交特定创新的专利申请。该项目促进实现具体目标8.6以及具体目标4.4、9.3和10.2。</w:t>
      </w:r>
    </w:p>
    <w:p w14:paraId="74419CF4" w14:textId="4E63C3B5"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埃及实施了知识产权局发展商业支持服务项目促进实现具体目标8.3。该项目旨在为埃及专利局和埃及商标局提供诊断工具和材料，使创新型中小型企业和初创企业掌握其商业战略所需的知识产权信息。通过更好地利用知识产权制度，该项目促进了这些企业的经济发展，增加了创造就业的机</w:t>
      </w:r>
      <w:r w:rsidR="00613487">
        <w:rPr>
          <w:rFonts w:ascii="SimSun" w:hAnsi="SimSun" w:hint="cs"/>
          <w:sz w:val="21"/>
          <w:szCs w:val="21"/>
        </w:rPr>
        <w:t>‍</w:t>
      </w:r>
      <w:r w:rsidRPr="00BE595B">
        <w:rPr>
          <w:rFonts w:ascii="SimSun" w:hAnsi="SimSun"/>
          <w:sz w:val="21"/>
          <w:szCs w:val="21"/>
        </w:rPr>
        <w:t>会。</w:t>
      </w:r>
    </w:p>
    <w:p w14:paraId="6FC8A40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多米尼加共和国知识产权和视频游戏项目的框架内，就利用知识产权制度进一步释放价值和支持经济多样化和技术升级，为40多名视频游戏开发者提供了培训。该项目通过鼓励创业、创造力和创新促进实现具体目标8.2、8.3和9.b。</w:t>
      </w:r>
    </w:p>
    <w:p w14:paraId="5F201768"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印度尼西亚巴厘岛实施了另一个知识产权和旅游项目，以支持水疗和手工艺行业的中小企业。选定的25家巴厘岛水疗和手工艺行业中小企业受益于关于利用知识产权增值和加强市场准入的培训和指导项目。该项目已促成16项商标注册，并制定了16项商业战略。作为该项目的一部分，正在制定政策建议，以支持加强国家旅游业框架。该项目促进实现具体目标8.3、8.9和9.3。</w:t>
      </w:r>
    </w:p>
    <w:p w14:paraId="38BDF4D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与此同时，佛得角的青年项目仍在继续进行，旨在通过问题解决办法和指导，为300名寻求在佛得角及其他地区将其知识产权资产商业化的年轻和/或有抱负的企业家提供知识产权培训和业务支持。2023年，组织了一场黑客马拉松</w:t>
      </w:r>
      <w:r w:rsidRPr="001E4AB5">
        <w:rPr>
          <w:rFonts w:asciiTheme="minorEastAsia" w:eastAsiaTheme="minorEastAsia" w:hAnsiTheme="minorEastAsia"/>
          <w:sz w:val="21"/>
          <w:szCs w:val="21"/>
        </w:rPr>
        <w:t>（</w:t>
      </w:r>
      <w:r w:rsidRPr="00BE595B">
        <w:rPr>
          <w:rFonts w:ascii="SimSun" w:hAnsi="SimSun"/>
          <w:sz w:val="21"/>
          <w:szCs w:val="21"/>
        </w:rPr>
        <w:t>创新马拉松</w:t>
      </w:r>
      <w:r w:rsidRPr="001E4AB5">
        <w:rPr>
          <w:rFonts w:asciiTheme="minorEastAsia" w:eastAsiaTheme="minorEastAsia" w:hAnsiTheme="minorEastAsia"/>
          <w:sz w:val="21"/>
          <w:szCs w:val="21"/>
        </w:rPr>
        <w:t>）</w:t>
      </w:r>
      <w:r w:rsidRPr="00BE595B">
        <w:rPr>
          <w:rFonts w:ascii="SimSun" w:hAnsi="SimSun"/>
          <w:sz w:val="21"/>
          <w:szCs w:val="21"/>
        </w:rPr>
        <w:t>，为与佛得角有关的发展挑战寻找解决方案。通过支持年轻人获得知识和技能，并促进创造、创新和创业努力以实现发展目标，该项目促进实现具体目标4.4和8.3。</w:t>
      </w:r>
    </w:p>
    <w:p w14:paraId="566345A5"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通过一种新的方法，在利益攸关方的整个知识产权历程中对其进行实战指导、支持和培训，在最不发达国家制定了一些量身定做的知识产权相关项目。所有这些专题项目都旨在增强相关知识产权利益攸关方的权能，使其能够利用知识产权为其产品增值，创造当地就业机会，加强其网络，并扩大其经济和增长机会。以下项目促进实现具体目标8.3：</w:t>
      </w:r>
    </w:p>
    <w:p w14:paraId="25AA9124"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通过大学和研究机构促进适当技术转让以促进社区发展的项目旨在促进利用专利文件中的技术和科学信息来确定适当技术，以应对具体的发展需求和社会经济挑战。2023年，该项目在不丹和马拉维启动。不丹的项目侧重于开发一种多用途电动烘干机，用于烘干供农民和供应商储存的蔬菜，马拉维的项目则试图确定适当的生物肥料技术，以提高作物产量和质量，并改善玉米生产所需的土壤营养。该项目促进实现具体目标8.3以及具体目标1.4、2.3、9.b、12.3和12.5。</w:t>
      </w:r>
    </w:p>
    <w:p w14:paraId="4F6BA830"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埃塞俄比亚传统医药从业人员利用知识产权试点项目支持84名从业人员通过商标注册为其产品创造商业机会，并为传统医药从业人员开发了一个提供咨询和销售其产品在线平台。所有84个商标的注册都是由商业登记许可机构</w:t>
      </w:r>
      <w:r w:rsidRPr="001E4AB5">
        <w:rPr>
          <w:rFonts w:asciiTheme="minorEastAsia" w:eastAsiaTheme="minorEastAsia" w:hAnsiTheme="minorEastAsia"/>
          <w:sz w:val="21"/>
          <w:szCs w:val="21"/>
        </w:rPr>
        <w:t>（</w:t>
      </w:r>
      <w:r w:rsidRPr="00BE595B">
        <w:rPr>
          <w:rFonts w:ascii="SimSun" w:hAnsi="SimSun"/>
          <w:sz w:val="21"/>
          <w:szCs w:val="21"/>
        </w:rPr>
        <w:t>EIPA</w:t>
      </w:r>
      <w:r w:rsidRPr="001E4AB5">
        <w:rPr>
          <w:rFonts w:asciiTheme="minorEastAsia" w:eastAsiaTheme="minorEastAsia" w:hAnsiTheme="minorEastAsia"/>
          <w:sz w:val="21"/>
          <w:szCs w:val="21"/>
        </w:rPr>
        <w:t>）</w:t>
      </w:r>
      <w:r w:rsidRPr="00BE595B">
        <w:rPr>
          <w:rFonts w:ascii="SimSun" w:hAnsi="SimSun"/>
          <w:sz w:val="21"/>
          <w:szCs w:val="21"/>
        </w:rPr>
        <w:t>与贡德尔大学和当地传统医学协会合作批准的。该项目促进实现具体目标1.4和8.3。</w:t>
      </w:r>
    </w:p>
    <w:p w14:paraId="1B1D0A9F" w14:textId="77777777" w:rsidR="0027157B" w:rsidRDefault="002F0718" w:rsidP="00433470">
      <w:pPr>
        <w:pStyle w:val="ListParagraph"/>
        <w:numPr>
          <w:ilvl w:val="0"/>
          <w:numId w:val="6"/>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在柬埔寨、乌干达和坦桑尼亚联合共和国实施了女企业家利用知识产权项目，指导了225多名女企业家，并批准了约183个商标注册。该项目的重点是通过品牌推广为女企业家创造就业机会和商业机会，促进实现具体目标8.3以及具体目标1.4、5.1和5.5。</w:t>
      </w:r>
    </w:p>
    <w:p w14:paraId="14854FF9"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视频游戏产业是经济转型国家创新和技术增长的关键驱动力。该产业需要多方利益攸关方的合作，例如出版商、开发商、制造商、平台和政策制定者。这种跨部门的公私伙伴关系与具体目标17.6和17.7直接相关。2023年，产权组织完成了</w:t>
      </w:r>
      <w:r w:rsidRPr="001E4AB5">
        <w:rPr>
          <w:rFonts w:asciiTheme="minorEastAsia" w:eastAsiaTheme="minorEastAsia" w:hAnsiTheme="minorEastAsia"/>
          <w:sz w:val="21"/>
          <w:szCs w:val="21"/>
        </w:rPr>
        <w:t>“</w:t>
      </w:r>
      <w:r w:rsidRPr="00BE595B">
        <w:rPr>
          <w:rFonts w:ascii="SimSun" w:hAnsi="SimSun"/>
          <w:sz w:val="21"/>
          <w:szCs w:val="21"/>
        </w:rPr>
        <w:t>视频游戏开发：知识产权探寻之旅</w:t>
      </w:r>
      <w:r w:rsidRPr="001E4AB5">
        <w:rPr>
          <w:rFonts w:asciiTheme="minorEastAsia" w:eastAsiaTheme="minorEastAsia" w:hAnsiTheme="minorEastAsia"/>
          <w:sz w:val="21"/>
          <w:szCs w:val="21"/>
        </w:rPr>
        <w:t>”</w:t>
      </w:r>
      <w:r w:rsidRPr="00BE595B">
        <w:rPr>
          <w:rFonts w:ascii="SimSun" w:hAnsi="SimSun"/>
          <w:sz w:val="21"/>
          <w:szCs w:val="21"/>
        </w:rPr>
        <w:t>跨区域项目的实施，该项目有效地帮助了小型游戏开发商</w:t>
      </w:r>
      <w:r w:rsidRPr="001E4AB5">
        <w:rPr>
          <w:rFonts w:asciiTheme="minorEastAsia" w:eastAsiaTheme="minorEastAsia" w:hAnsiTheme="minorEastAsia"/>
          <w:sz w:val="21"/>
          <w:szCs w:val="21"/>
        </w:rPr>
        <w:t>（</w:t>
      </w:r>
      <w:r w:rsidRPr="00BE595B">
        <w:rPr>
          <w:rFonts w:ascii="SimSun" w:hAnsi="SimSun"/>
          <w:sz w:val="21"/>
          <w:szCs w:val="21"/>
        </w:rPr>
        <w:t>特别是来自CEBS地区、拉丁美洲和亚太地区的小型游戏开发商</w:t>
      </w:r>
      <w:r w:rsidRPr="001E4AB5">
        <w:rPr>
          <w:rFonts w:asciiTheme="minorEastAsia" w:eastAsiaTheme="minorEastAsia" w:hAnsiTheme="minorEastAsia"/>
          <w:sz w:val="21"/>
          <w:szCs w:val="21"/>
        </w:rPr>
        <w:t>）</w:t>
      </w:r>
      <w:r w:rsidRPr="00BE595B">
        <w:rPr>
          <w:rFonts w:ascii="SimSun" w:hAnsi="SimSun"/>
          <w:sz w:val="21"/>
          <w:szCs w:val="21"/>
        </w:rPr>
        <w:t>制定视频游戏开发不同阶段的知识产权战略。每个阶段都包括：i)与领先游戏公司进行播客访谈，分享最佳实践；ii)通过PowerUps核对表获得关键知识产权要点；iii)通过知识产权诊所获得来自法律专家的个性化知识产权建议；iv)建立游戏开发商网络。为了最大限度地产生影响，该项目与欧洲游戏开发商联合会、欧洲视频游戏</w:t>
      </w:r>
      <w:r w:rsidRPr="001E4AB5">
        <w:rPr>
          <w:rFonts w:asciiTheme="minorEastAsia" w:eastAsiaTheme="minorEastAsia" w:hAnsiTheme="minorEastAsia"/>
          <w:sz w:val="21"/>
          <w:szCs w:val="21"/>
        </w:rPr>
        <w:t>（</w:t>
      </w:r>
      <w:r w:rsidRPr="00BE595B">
        <w:rPr>
          <w:rFonts w:ascii="SimSun" w:hAnsi="SimSun"/>
          <w:sz w:val="21"/>
          <w:szCs w:val="21"/>
        </w:rPr>
        <w:t>前ISF</w:t>
      </w:r>
      <w:r w:rsidRPr="001E4AB5">
        <w:rPr>
          <w:rFonts w:asciiTheme="minorEastAsia" w:eastAsiaTheme="minorEastAsia" w:hAnsiTheme="minorEastAsia"/>
          <w:sz w:val="21"/>
          <w:szCs w:val="21"/>
        </w:rPr>
        <w:t>）</w:t>
      </w:r>
      <w:r w:rsidRPr="00BE595B">
        <w:rPr>
          <w:rFonts w:ascii="SimSun" w:hAnsi="SimSun"/>
          <w:sz w:val="21"/>
          <w:szCs w:val="21"/>
        </w:rPr>
        <w:t>、腾讯、拳头游戏和CD Project Red等该领域的领先者密切合作。该项目促进实现具体目标8.2。</w:t>
      </w:r>
    </w:p>
    <w:p w14:paraId="619802D2" w14:textId="77CEB8FA"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为了进一步促进实现具体目标8.2，产权组织与哈萨克斯坦和塔吉克斯坦知识产权局分别签署了服务等级协议</w:t>
      </w:r>
      <w:r w:rsidRPr="001E4AB5">
        <w:rPr>
          <w:rFonts w:asciiTheme="minorEastAsia" w:eastAsiaTheme="minorEastAsia" w:hAnsiTheme="minorEastAsia"/>
          <w:sz w:val="21"/>
          <w:szCs w:val="21"/>
        </w:rPr>
        <w:t>（</w:t>
      </w:r>
      <w:r w:rsidRPr="00BE595B">
        <w:rPr>
          <w:rFonts w:ascii="SimSun" w:hAnsi="SimSun"/>
          <w:sz w:val="21"/>
          <w:szCs w:val="21"/>
        </w:rPr>
        <w:t>SLA</w:t>
      </w:r>
      <w:r w:rsidRPr="001E4AB5">
        <w:rPr>
          <w:rFonts w:asciiTheme="minorEastAsia" w:eastAsiaTheme="minorEastAsia" w:hAnsiTheme="minorEastAsia"/>
          <w:sz w:val="21"/>
          <w:szCs w:val="21"/>
        </w:rPr>
        <w:t>）</w:t>
      </w:r>
      <w:r w:rsidRPr="00BE595B">
        <w:rPr>
          <w:rFonts w:ascii="SimSun" w:hAnsi="SimSun"/>
          <w:sz w:val="21"/>
          <w:szCs w:val="21"/>
        </w:rPr>
        <w:t>，以建立国家TISC网络，在这些成员国进行知识积累，并为这些成员国的创新和创造提供支持。</w:t>
      </w:r>
    </w:p>
    <w:p w14:paraId="6B77E29E"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组织了以下活动，以支持创造者和创新者，并为他们提供技术和立法援助，从而促进实现具体目标8.3：</w:t>
      </w:r>
    </w:p>
    <w:p w14:paraId="66032006"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color w:val="000000"/>
          <w:sz w:val="21"/>
          <w:szCs w:val="21"/>
        </w:rPr>
        <w:t>2023年6月21日在波兰华沙以混合形式举行的第十六届国际经济创新和创意会议：设计可持续交通。</w:t>
      </w:r>
      <w:r w:rsidRPr="00BE595B">
        <w:rPr>
          <w:rFonts w:ascii="SimSun" w:hAnsi="SimSun"/>
          <w:sz w:val="21"/>
          <w:szCs w:val="21"/>
        </w:rPr>
        <w:t>该会议促进了当地设计师、企业家和机构之间关于知识产权、创新和创意对可持续交通影响的讨论。</w:t>
      </w:r>
    </w:p>
    <w:p w14:paraId="436F1128"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2023年9月21日至22日在波兰华沙以混合形式举行的国际知识产权大会：未来挑战和趋势。该大会促进了对科学、商业和行政三方面与知识产权相关的挑战和趋势以及对未来技术的影响的讨论。</w:t>
      </w:r>
    </w:p>
    <w:p w14:paraId="5E885663"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1月17日至18日在罗马尼亚布加勒斯特以混合形式举行的第五届中小企业数字经济中的知识产权问题地区会议：数字环境下的电影行业。该会议有效地推广了CEBS地区电影行业中小企业在数字经济中利用知识产权制度的方式。</w:t>
      </w:r>
    </w:p>
    <w:p w14:paraId="1EABDC3F"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2023年11月14日在塞尔维亚贝尔格莱德举行的初创企业知识产权国家讲习班。讲习班使产权组织塞尔维亚创业理念指南得以有效部署，并支持初创企业加强使用知识产权工具。</w:t>
      </w:r>
    </w:p>
    <w:p w14:paraId="58187797"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6月29日在塔吉克斯坦杜尚别举行的企业知识产权国家研讨会：为中小企业创造机会。该研讨会鼓励塔吉克斯坦商界代表在工作中使用产权组织知识产权工具和资源，并支持当地中小企业中介机构扩大其知识产权相关服务组合。</w:t>
      </w:r>
    </w:p>
    <w:p w14:paraId="421CDDF8"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可持续发展目标9：建造具备抵御灾害能力的基础设施，促进具有包容性的可持续工业化，推动创新</w:t>
      </w:r>
    </w:p>
    <w:p w14:paraId="0532AC65"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知识产权和创新</w:t>
      </w:r>
      <w:r w:rsidRPr="00BE595B">
        <w:rPr>
          <w:rFonts w:ascii="SimSun" w:hAnsi="SimSun"/>
          <w:sz w:val="21"/>
          <w:szCs w:val="21"/>
        </w:rPr>
        <w:t>领域，在93个国家建立</w:t>
      </w:r>
      <w:r w:rsidR="002B0F01" w:rsidRPr="00BE595B">
        <w:rPr>
          <w:rFonts w:ascii="SimSun" w:hAnsi="SimSun" w:hint="eastAsia"/>
          <w:sz w:val="21"/>
          <w:szCs w:val="21"/>
        </w:rPr>
        <w:t>了</w:t>
      </w:r>
      <w:r w:rsidRPr="00BE595B">
        <w:rPr>
          <w:rFonts w:ascii="SimSun" w:hAnsi="SimSun"/>
          <w:sz w:val="21"/>
          <w:szCs w:val="21"/>
        </w:rPr>
        <w:t>产权组织技术与创新支持中心</w:t>
      </w:r>
      <w:r w:rsidRPr="001E4AB5">
        <w:rPr>
          <w:rFonts w:asciiTheme="minorEastAsia" w:eastAsiaTheme="minorEastAsia" w:hAnsiTheme="minorEastAsia"/>
          <w:sz w:val="21"/>
          <w:szCs w:val="21"/>
        </w:rPr>
        <w:t>（</w:t>
      </w:r>
      <w:r w:rsidRPr="00BE595B">
        <w:rPr>
          <w:rFonts w:ascii="SimSun" w:hAnsi="SimSun"/>
          <w:sz w:val="21"/>
          <w:szCs w:val="21"/>
        </w:rPr>
        <w:t>TISC</w:t>
      </w:r>
      <w:r w:rsidRPr="001E4AB5">
        <w:rPr>
          <w:rFonts w:asciiTheme="minorEastAsia" w:eastAsiaTheme="minorEastAsia" w:hAnsiTheme="minorEastAsia"/>
          <w:sz w:val="21"/>
          <w:szCs w:val="21"/>
        </w:rPr>
        <w:t>）</w:t>
      </w:r>
      <w:r w:rsidRPr="00BE595B">
        <w:rPr>
          <w:rFonts w:ascii="SimSun" w:hAnsi="SimSun"/>
          <w:sz w:val="21"/>
          <w:szCs w:val="21"/>
        </w:rPr>
        <w:t>网络，有1,530多个单独的TISC设在大学和研发中心等机构，为创新者提供获取基于本地的高质量技术信息和相关服务的机会。特别是，TISC帮助创新者发挥他们的潜力，创造、保护和管理他们的知识产权。2023年，继续进行能力建设，通过举办15个国家TISC讲习班在线培训和五个区域会议加强TISC的影响力和可持续性。专利检索、分析和其他相关领域的最佳做法和经验也由TISC通过eTISC平台提供的虚拟网络共享，截至2023年底，该平台拥有1,300多名注册会员。2023年，TISC项目和绩效管理</w:t>
      </w:r>
      <w:r w:rsidRPr="001E4AB5">
        <w:rPr>
          <w:rFonts w:asciiTheme="minorEastAsia" w:eastAsiaTheme="minorEastAsia" w:hAnsiTheme="minorEastAsia"/>
          <w:sz w:val="21"/>
          <w:szCs w:val="21"/>
        </w:rPr>
        <w:t>（</w:t>
      </w:r>
      <w:r w:rsidRPr="00BE595B">
        <w:rPr>
          <w:rFonts w:ascii="SimSun" w:hAnsi="SimSun"/>
          <w:sz w:val="21"/>
          <w:szCs w:val="21"/>
        </w:rPr>
        <w:t>TPPM</w:t>
      </w:r>
      <w:r w:rsidRPr="001E4AB5">
        <w:rPr>
          <w:rFonts w:asciiTheme="minorEastAsia" w:eastAsiaTheme="minorEastAsia" w:hAnsiTheme="minorEastAsia"/>
          <w:sz w:val="21"/>
          <w:szCs w:val="21"/>
        </w:rPr>
        <w:t>）</w:t>
      </w:r>
      <w:r w:rsidRPr="00BE595B">
        <w:rPr>
          <w:rFonts w:ascii="SimSun" w:hAnsi="SimSun"/>
          <w:sz w:val="21"/>
          <w:szCs w:val="21"/>
        </w:rPr>
        <w:t>平台在其他TISC国家推出，以促进TISC数据和绩效监测。这些活动促进实现具体目标9.5。</w:t>
      </w:r>
    </w:p>
    <w:p w14:paraId="676E50A7" w14:textId="509B3E3D"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产权组织TISC网页继续提供有关支持知识和技能发展的各种资源的信息，共有81,595名独立用户访问了这些网页。产权组织技术转让网页访问量显著增长，独立访客达80,885人，页面浏览量达146,269次。</w:t>
      </w:r>
    </w:p>
    <w:p w14:paraId="724D492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第二份关于COVID-19相关疫苗和疗法的专利态势报告</w:t>
      </w:r>
      <w:r w:rsidRPr="001E4AB5">
        <w:rPr>
          <w:rFonts w:asciiTheme="minorEastAsia" w:eastAsiaTheme="minorEastAsia" w:hAnsiTheme="minorEastAsia"/>
          <w:sz w:val="21"/>
          <w:szCs w:val="21"/>
        </w:rPr>
        <w:t>（</w:t>
      </w:r>
      <w:r w:rsidRPr="00BE595B">
        <w:rPr>
          <w:rFonts w:ascii="SimSun" w:hAnsi="SimSun"/>
          <w:sz w:val="21"/>
          <w:szCs w:val="21"/>
        </w:rPr>
        <w:t>关于大流行期间相关专利活动的初步见解</w:t>
      </w:r>
      <w:r w:rsidRPr="001E4AB5">
        <w:rPr>
          <w:rFonts w:asciiTheme="minorEastAsia" w:eastAsiaTheme="minorEastAsia" w:hAnsiTheme="minorEastAsia"/>
          <w:sz w:val="21"/>
          <w:szCs w:val="21"/>
        </w:rPr>
        <w:t>）</w:t>
      </w:r>
      <w:r w:rsidRPr="00BE595B">
        <w:rPr>
          <w:rFonts w:ascii="SimSun" w:hAnsi="SimSun"/>
          <w:sz w:val="21"/>
          <w:szCs w:val="21"/>
        </w:rPr>
        <w:t>于2023年4月发布，反映了对已宣布的大流行期间的数据和趋势的见解。2023年，还发表了关于石墨和钛铁矿及其各自应用的专利态势报告。2023年，两份COVID-19专利态势报告总下载量超过19,000次，钛铁矿报告下载量超过6,000次，石墨报告下载量超过3,000次。一份汇编列出了其他组织提供的另外265份关于各种技术的专利态势报告。</w:t>
      </w:r>
    </w:p>
    <w:p w14:paraId="12F2CF53"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WIPO学院以远程学习课程</w:t>
      </w:r>
      <w:r w:rsidRPr="001E4AB5">
        <w:rPr>
          <w:rFonts w:asciiTheme="minorEastAsia" w:eastAsiaTheme="minorEastAsia" w:hAnsiTheme="minorEastAsia"/>
          <w:sz w:val="21"/>
          <w:szCs w:val="21"/>
        </w:rPr>
        <w:t>（</w:t>
      </w:r>
      <w:r w:rsidRPr="00BE595B">
        <w:rPr>
          <w:rFonts w:ascii="SimSun" w:hAnsi="SimSun"/>
          <w:sz w:val="21"/>
          <w:szCs w:val="21"/>
        </w:rPr>
        <w:t>DL-177</w:t>
      </w:r>
      <w:r w:rsidRPr="001E4AB5">
        <w:rPr>
          <w:rFonts w:asciiTheme="minorEastAsia" w:eastAsiaTheme="minorEastAsia" w:hAnsiTheme="minorEastAsia"/>
          <w:sz w:val="21"/>
          <w:szCs w:val="21"/>
        </w:rPr>
        <w:t>）</w:t>
      </w:r>
      <w:r w:rsidRPr="00BE595B">
        <w:rPr>
          <w:rFonts w:ascii="SimSun" w:hAnsi="SimSun"/>
          <w:sz w:val="21"/>
          <w:szCs w:val="21"/>
        </w:rPr>
        <w:t>的形式提供了关于使用专利信息的电子教程。学习者能够跟踪他们的进度，并获得电子教程完成证书。此外，专利注册簿门户旨在提供来自200多个司法管辖区和专利信息集的在线专利登记簿、公报和法律状态相关信息，2023年，其管辖区文档共有11,184名独立访客，pdf下载量为728次。</w:t>
      </w:r>
    </w:p>
    <w:p w14:paraId="437D09D3" w14:textId="6EAF87E5" w:rsidR="0027157B" w:rsidRDefault="004E4AA6"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hyperlink r:id="rId54" w:history="1">
        <w:r w:rsidR="002F0718" w:rsidRPr="00BE595B">
          <w:rPr>
            <w:rStyle w:val="Hyperlink"/>
            <w:rFonts w:ascii="SimSun" w:hAnsi="SimSun"/>
            <w:sz w:val="21"/>
            <w:szCs w:val="21"/>
          </w:rPr>
          <w:t>WIPO INSPIRE</w:t>
        </w:r>
      </w:hyperlink>
      <w:r w:rsidR="002F0718" w:rsidRPr="001E4AB5">
        <w:rPr>
          <w:rFonts w:asciiTheme="minorEastAsia" w:eastAsiaTheme="minorEastAsia" w:hAnsiTheme="minorEastAsia"/>
          <w:sz w:val="21"/>
          <w:szCs w:val="21"/>
        </w:rPr>
        <w:t>（</w:t>
      </w:r>
      <w:r w:rsidR="002F0718" w:rsidRPr="00BE595B">
        <w:rPr>
          <w:rFonts w:ascii="SimSun" w:hAnsi="SimSun"/>
          <w:sz w:val="21"/>
          <w:szCs w:val="21"/>
        </w:rPr>
        <w:t>专业化专利信息报告索引</w:t>
      </w:r>
      <w:r w:rsidR="002F0718" w:rsidRPr="001E4AB5">
        <w:rPr>
          <w:rFonts w:asciiTheme="minorEastAsia" w:eastAsiaTheme="minorEastAsia" w:hAnsiTheme="minorEastAsia"/>
          <w:sz w:val="21"/>
          <w:szCs w:val="21"/>
        </w:rPr>
        <w:t>）</w:t>
      </w:r>
      <w:r w:rsidR="002F0718" w:rsidRPr="00BE595B">
        <w:rPr>
          <w:rFonts w:ascii="SimSun" w:hAnsi="SimSun"/>
          <w:sz w:val="21"/>
          <w:szCs w:val="21"/>
        </w:rPr>
        <w:t>平台向发明人、研究人员和企业家提供清晰、准确且客观的专利数据库信息，特别是其文献覆盖面以及检索和分析功能，便于确定和使用最合适的专利数据库。专利数据库报告的数量继续增长，2023年达到46份。此外，产权组织还制定了若干举措、出版物、培训材料和工具，旨在帮助TISC和技术转让机构提供创新支持和技术转让服务。</w:t>
      </w:r>
    </w:p>
    <w:p w14:paraId="16530EAF"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对于中小企业来说，知识产权是一种宝贵的资产，可以用作获得贷款或投资的抵押品。知识产权融资可以帮助企业获得成长和成功所需资金。在此背景下，产权组织实施了促进利用知识产权作为哥斯达黎加</w:t>
      </w:r>
      <w:r w:rsidRPr="00BE595B">
        <w:rPr>
          <w:rFonts w:ascii="SimSun" w:hAnsi="SimSun"/>
          <w:iCs/>
          <w:sz w:val="21"/>
          <w:szCs w:val="21"/>
        </w:rPr>
        <w:t>、多米尼加共和国、萨尔瓦多、危地马拉、洪都拉斯和巴拿马</w:t>
      </w:r>
      <w:r w:rsidRPr="00BE595B">
        <w:rPr>
          <w:rFonts w:ascii="SimSun" w:hAnsi="SimSun"/>
          <w:sz w:val="21"/>
          <w:szCs w:val="21"/>
        </w:rPr>
        <w:t>企业家和中小微企业融资来源的项目。</w:t>
      </w:r>
      <w:r w:rsidRPr="00BE595B">
        <w:rPr>
          <w:rFonts w:ascii="SimSun" w:hAnsi="SimSun"/>
          <w:iCs/>
          <w:sz w:val="21"/>
          <w:szCs w:val="21"/>
        </w:rPr>
        <w:t>在15个中小企业支助机构设立了专门的知识产权支助服务，54名工作人员参加了WIPO学院关于知识产权作为融资来源的课程。举办了知识产权和电子商务讲习班，包括中介机构人员、政府官员和企业家在内的113多人参加。作为知识产权和电子商务试点项目的一部分，当地专家举行了160多次双边指导会议，培训和指导了49家中小微企业。</w:t>
      </w:r>
      <w:r w:rsidRPr="00BE595B">
        <w:rPr>
          <w:rFonts w:ascii="SimSun" w:hAnsi="SimSun"/>
          <w:sz w:val="21"/>
          <w:szCs w:val="21"/>
        </w:rPr>
        <w:t>这一举措促进实现具体目标9.3。</w:t>
      </w:r>
    </w:p>
    <w:p w14:paraId="2EE84C11" w14:textId="5EFD3EF2"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品牌和外观设计</w:t>
      </w:r>
      <w:r w:rsidRPr="00BE595B">
        <w:rPr>
          <w:rFonts w:ascii="SimSun" w:hAnsi="SimSun"/>
          <w:sz w:val="21"/>
          <w:szCs w:val="21"/>
        </w:rPr>
        <w:t>领域，产权组织推动讨论，旨在加强成员国之间的合作，以便就商标、工业品外观设计和地理标志方面的商定议题制定兼顾各方的国际规范性框架。这项活动还促进了关于知识产权局做法的信息和经验交流，以期提高国际知识产权制度实际运作的透明度，并在可能的情况下促进实务层面一致性的加强。根据在产权组织大会第五十五届会议</w:t>
      </w:r>
      <w:r w:rsidRPr="001E4AB5">
        <w:rPr>
          <w:rFonts w:asciiTheme="minorEastAsia" w:eastAsiaTheme="minorEastAsia" w:hAnsiTheme="minorEastAsia"/>
          <w:sz w:val="21"/>
          <w:szCs w:val="21"/>
        </w:rPr>
        <w:t>（</w:t>
      </w:r>
      <w:r w:rsidRPr="00BE595B">
        <w:rPr>
          <w:rFonts w:ascii="SimSun" w:hAnsi="SimSun"/>
          <w:sz w:val="21"/>
          <w:szCs w:val="21"/>
        </w:rPr>
        <w:t>第30次特别会议</w:t>
      </w:r>
      <w:r w:rsidRPr="001E4AB5">
        <w:rPr>
          <w:rFonts w:asciiTheme="minorEastAsia" w:eastAsiaTheme="minorEastAsia" w:hAnsiTheme="minorEastAsia"/>
          <w:sz w:val="21"/>
          <w:szCs w:val="21"/>
        </w:rPr>
        <w:t>）</w:t>
      </w:r>
      <w:r w:rsidRPr="00BE595B">
        <w:rPr>
          <w:rFonts w:ascii="SimSun" w:hAnsi="SimSun"/>
          <w:sz w:val="21"/>
          <w:szCs w:val="21"/>
        </w:rPr>
        <w:t>上做出的不晚于2024年召开外交会议以缔结和通过外观设计法条约的决定，</w:t>
      </w:r>
      <w:r w:rsidRPr="00BE595B">
        <w:rPr>
          <w:rStyle w:val="FootnoteReference"/>
          <w:rFonts w:ascii="SimSun" w:hAnsi="SimSun"/>
          <w:sz w:val="21"/>
          <w:szCs w:val="21"/>
        </w:rPr>
        <w:footnoteReference w:id="7"/>
      </w:r>
      <w:r w:rsidRPr="00BE595B">
        <w:rPr>
          <w:rFonts w:ascii="SimSun" w:hAnsi="SimSun"/>
          <w:sz w:val="21"/>
          <w:szCs w:val="21"/>
        </w:rPr>
        <w:t>商标、工业品外观设计和地理标志法常设委员会</w:t>
      </w:r>
      <w:r w:rsidRPr="001E4AB5">
        <w:rPr>
          <w:rFonts w:asciiTheme="minorEastAsia" w:eastAsiaTheme="minorEastAsia" w:hAnsiTheme="minorEastAsia"/>
          <w:sz w:val="21"/>
          <w:szCs w:val="21"/>
        </w:rPr>
        <w:t>（</w:t>
      </w:r>
      <w:r w:rsidRPr="00BE595B">
        <w:rPr>
          <w:rFonts w:ascii="SimSun" w:hAnsi="SimSun"/>
          <w:sz w:val="21"/>
          <w:szCs w:val="21"/>
        </w:rPr>
        <w:t>SCT</w:t>
      </w:r>
      <w:r w:rsidRPr="001E4AB5">
        <w:rPr>
          <w:rFonts w:asciiTheme="minorEastAsia" w:eastAsiaTheme="minorEastAsia" w:hAnsiTheme="minorEastAsia"/>
          <w:sz w:val="21"/>
          <w:szCs w:val="21"/>
        </w:rPr>
        <w:t>）</w:t>
      </w:r>
      <w:r w:rsidRPr="00BE595B">
        <w:rPr>
          <w:rFonts w:ascii="SimSun" w:hAnsi="SimSun"/>
          <w:sz w:val="21"/>
          <w:szCs w:val="21"/>
        </w:rPr>
        <w:t>第三次特别会议于2023年举行，以便在举行外交会议筹备委员会会议之前，将任何现有的差距缩小到足够的水平。本组织还继续扩大《商标法新加坡条约》的地理覆盖范围，以进一步简化世界各地的商标注册程序。这些活动促进实现具体目标9.4和9.a以及具体目标10.a、16.3和16.6。</w:t>
      </w:r>
    </w:p>
    <w:p w14:paraId="3D5552A6" w14:textId="6ED4F638"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全球挑战和伙伴关系</w:t>
      </w:r>
      <w:r w:rsidRPr="00BE595B">
        <w:rPr>
          <w:rFonts w:ascii="SimSun" w:hAnsi="SimSun"/>
          <w:sz w:val="21"/>
          <w:szCs w:val="21"/>
        </w:rPr>
        <w:t>领域，WIPO GREEN创新技术和需求数据库涵盖了与基础设施相关的若干部门，有一个</w:t>
      </w:r>
      <w:hyperlink r:id="rId55" w:history="1">
        <w:r w:rsidRPr="00BE595B">
          <w:rPr>
            <w:rStyle w:val="Hyperlink"/>
            <w:rFonts w:ascii="SimSun" w:hAnsi="SimSun"/>
            <w:sz w:val="21"/>
            <w:szCs w:val="21"/>
          </w:rPr>
          <w:t>建筑和施工</w:t>
        </w:r>
      </w:hyperlink>
      <w:r w:rsidRPr="00BE595B">
        <w:rPr>
          <w:rFonts w:ascii="SimSun" w:hAnsi="SimSun"/>
          <w:sz w:val="21"/>
          <w:szCs w:val="21"/>
        </w:rPr>
        <w:t>部分，共13,538个条目。为了鼓励创新和支持企业家，2023年，WIPO GREEN与企业知识产权司合作，主办了一个</w:t>
      </w:r>
      <w:hyperlink r:id="rId56" w:history="1">
        <w:r w:rsidRPr="00BE595B">
          <w:rPr>
            <w:rStyle w:val="Hyperlink"/>
            <w:rFonts w:ascii="SimSun" w:hAnsi="SimSun"/>
            <w:sz w:val="21"/>
            <w:szCs w:val="21"/>
          </w:rPr>
          <w:t>农业知识产权管理诊所</w:t>
        </w:r>
      </w:hyperlink>
      <w:r w:rsidRPr="00BE595B">
        <w:rPr>
          <w:rFonts w:ascii="SimSun" w:hAnsi="SimSun"/>
          <w:sz w:val="21"/>
          <w:szCs w:val="21"/>
        </w:rPr>
        <w:t>。知识产权管理诊所帮助中小企业为农业部门制定解决方案，以加强粮食安全，减少污染、用水或碳排放，并通过讲习班和一对一辅导课程改进他们的业务和知识产权战略。在日本专利局的资助下，</w:t>
      </w:r>
      <w:hyperlink r:id="rId57" w:history="1">
        <w:r w:rsidR="00263A3D">
          <w:rPr>
            <w:rStyle w:val="Hyperlink"/>
            <w:rFonts w:ascii="SimSun" w:hAnsi="SimSun" w:hint="eastAsia"/>
            <w:sz w:val="21"/>
            <w:szCs w:val="21"/>
          </w:rPr>
          <w:t>WI</w:t>
        </w:r>
        <w:r w:rsidRPr="00BE595B">
          <w:rPr>
            <w:rStyle w:val="Hyperlink"/>
            <w:rFonts w:ascii="SimSun" w:hAnsi="SimSun"/>
            <w:sz w:val="21"/>
            <w:szCs w:val="21"/>
          </w:rPr>
          <w:t>PO GREEN</w:t>
        </w:r>
      </w:hyperlink>
      <w:r w:rsidRPr="00BE595B">
        <w:rPr>
          <w:rFonts w:ascii="SimSun" w:hAnsi="SimSun"/>
          <w:sz w:val="21"/>
          <w:szCs w:val="21"/>
        </w:rPr>
        <w:t>倡议于2022年启动，该倡议汇聚了各知识产权局，分享他们的经验和见解，并就知识产权局帮助刺激新的绿色技术解决方案的开发和部署的活动提供研究和分析。2022年春季至2023年夏季，</w:t>
      </w:r>
      <w:r w:rsidR="00263A3D">
        <w:rPr>
          <w:rFonts w:ascii="SimSun" w:hAnsi="SimSun" w:hint="eastAsia"/>
          <w:sz w:val="21"/>
          <w:szCs w:val="21"/>
        </w:rPr>
        <w:t>W</w:t>
      </w:r>
      <w:r w:rsidRPr="00BE595B">
        <w:rPr>
          <w:rFonts w:ascii="SimSun" w:hAnsi="SimSun"/>
          <w:sz w:val="21"/>
          <w:szCs w:val="21"/>
        </w:rPr>
        <w:t>IPO Green网络研讨会系列共举办了16场网络研讨会，来自全球各地的知识产权局在研讨会上分享了其实施知识产权相关举措的经验和最佳实践。这些活动促进实现具体目标9.4。</w:t>
      </w:r>
    </w:p>
    <w:p w14:paraId="63C51E4D"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国际分类和标准</w:t>
      </w:r>
      <w:r w:rsidRPr="00BE595B">
        <w:rPr>
          <w:rFonts w:ascii="SimSun" w:hAnsi="SimSun"/>
          <w:sz w:val="21"/>
          <w:szCs w:val="21"/>
        </w:rPr>
        <w:t>领域，产权组织标准委员会核准了对产权组织标准ST.26、ST.61和ST.88的修订，并注意到对产权组织标准ST.96的修订。产权组织标准继续与可持续发展目标9相对应，该目标发布在</w:t>
      </w:r>
      <w:hyperlink r:id="rId58" w:history="1">
        <w:r w:rsidRPr="00BE595B">
          <w:rPr>
            <w:rStyle w:val="Hyperlink"/>
            <w:rFonts w:ascii="SimSun" w:hAnsi="SimSun"/>
            <w:sz w:val="21"/>
            <w:szCs w:val="21"/>
          </w:rPr>
          <w:t>联合国欧洲经济委员会可持续发展目标标准门户网站</w:t>
        </w:r>
      </w:hyperlink>
      <w:r w:rsidRPr="00BE595B">
        <w:rPr>
          <w:rFonts w:ascii="SimSun" w:hAnsi="SimSun"/>
          <w:sz w:val="21"/>
          <w:szCs w:val="21"/>
        </w:rPr>
        <w:t>上。</w:t>
      </w:r>
    </w:p>
    <w:p w14:paraId="5613C3A4"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本组织在</w:t>
      </w:r>
      <w:r w:rsidRPr="00BE595B">
        <w:rPr>
          <w:rFonts w:ascii="SimSun" w:hAnsi="SimSun"/>
          <w:b/>
          <w:sz w:val="21"/>
          <w:szCs w:val="21"/>
        </w:rPr>
        <w:t>经济学和数据分析</w:t>
      </w:r>
      <w:r w:rsidRPr="00BE595B">
        <w:rPr>
          <w:rFonts w:ascii="SimSun" w:hAnsi="SimSun"/>
          <w:sz w:val="21"/>
          <w:szCs w:val="21"/>
        </w:rPr>
        <w:t>方面的工作通过发布支持政策制定者促进充满活力的创新体系的统计和分析报告，促进实现目标具体9.5和9.b。产权组织在这一领域的旗舰出版物是《世界知识产权</w:t>
      </w:r>
      <w:hyperlink r:id="rId59" w:history="1">
        <w:r w:rsidRPr="00BE595B">
          <w:rPr>
            <w:rStyle w:val="Hyperlink"/>
            <w:rFonts w:ascii="SimSun" w:hAnsi="SimSun"/>
            <w:sz w:val="21"/>
            <w:szCs w:val="21"/>
          </w:rPr>
          <w:t>指标</w:t>
        </w:r>
      </w:hyperlink>
      <w:r w:rsidRPr="00BE595B">
        <w:rPr>
          <w:rFonts w:ascii="SimSun" w:hAnsi="SimSun"/>
          <w:sz w:val="21"/>
          <w:szCs w:val="21"/>
        </w:rPr>
        <w:t>》和《</w:t>
      </w:r>
      <w:hyperlink r:id="rId60" w:history="1">
        <w:r w:rsidRPr="00BE595B">
          <w:rPr>
            <w:rStyle w:val="Hyperlink"/>
            <w:rFonts w:ascii="SimSun" w:hAnsi="SimSun"/>
            <w:sz w:val="21"/>
            <w:szCs w:val="21"/>
          </w:rPr>
          <w:t>全球创新指数</w:t>
        </w:r>
      </w:hyperlink>
      <w:r w:rsidRPr="001E4AB5">
        <w:rPr>
          <w:rFonts w:asciiTheme="minorEastAsia" w:eastAsiaTheme="minorEastAsia" w:hAnsiTheme="minorEastAsia"/>
          <w:sz w:val="21"/>
          <w:szCs w:val="21"/>
        </w:rPr>
        <w:t>（</w:t>
      </w:r>
      <w:r w:rsidRPr="00BE595B">
        <w:rPr>
          <w:rFonts w:ascii="SimSun" w:hAnsi="SimSun"/>
          <w:sz w:val="21"/>
          <w:szCs w:val="21"/>
        </w:rPr>
        <w:t>GII</w:t>
      </w:r>
      <w:r w:rsidRPr="001E4AB5">
        <w:rPr>
          <w:rFonts w:asciiTheme="minorEastAsia" w:eastAsiaTheme="minorEastAsia" w:hAnsiTheme="minorEastAsia"/>
          <w:sz w:val="21"/>
          <w:szCs w:val="21"/>
        </w:rPr>
        <w:t>）</w:t>
      </w:r>
      <w:r w:rsidRPr="00BE595B">
        <w:rPr>
          <w:rFonts w:ascii="SimSun" w:hAnsi="SimSun"/>
          <w:sz w:val="21"/>
          <w:szCs w:val="21"/>
        </w:rPr>
        <w:t>》，前者提供了有关全球不同技术领域和经济部门知识产权使用情况的原始统计数据，后者基于80个不同指标对约130个新兴经济体的创新表现设定了基准。</w:t>
      </w:r>
    </w:p>
    <w:p w14:paraId="2F58CECE"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合作促进发展</w:t>
      </w:r>
      <w:r w:rsidRPr="00BE595B">
        <w:rPr>
          <w:rFonts w:ascii="SimSun" w:hAnsi="SimSun"/>
          <w:sz w:val="21"/>
          <w:szCs w:val="21"/>
        </w:rPr>
        <w:t>领域，产权组织通过若干举措和项目支持成员国，促进实现可持续发展目标9，如下所述。</w:t>
      </w:r>
    </w:p>
    <w:p w14:paraId="61938948"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hint="eastAsia"/>
          <w:sz w:val="21"/>
          <w:szCs w:val="21"/>
        </w:rPr>
        <w:t>通过大学和研究机构促进适当技术转让以促进社区发展的项目继续在三个最不发达国家</w:t>
      </w:r>
      <w:r w:rsidRPr="001E4AB5">
        <w:rPr>
          <w:rFonts w:asciiTheme="minorEastAsia" w:eastAsiaTheme="minorEastAsia" w:hAnsiTheme="minorEastAsia" w:hint="eastAsia"/>
          <w:sz w:val="21"/>
          <w:szCs w:val="21"/>
        </w:rPr>
        <w:t>（</w:t>
      </w:r>
      <w:r w:rsidRPr="00BE595B">
        <w:rPr>
          <w:rFonts w:ascii="SimSun" w:hAnsi="SimSun" w:hint="eastAsia"/>
          <w:sz w:val="21"/>
          <w:szCs w:val="21"/>
        </w:rPr>
        <w:t>即莫桑比克、塞内加尔和乌干达</w:t>
      </w:r>
      <w:r w:rsidRPr="001E4AB5">
        <w:rPr>
          <w:rFonts w:asciiTheme="minorEastAsia" w:eastAsiaTheme="minorEastAsia" w:hAnsiTheme="minorEastAsia" w:hint="eastAsia"/>
          <w:sz w:val="21"/>
          <w:szCs w:val="21"/>
        </w:rPr>
        <w:t>）</w:t>
      </w:r>
      <w:r w:rsidRPr="00BE595B">
        <w:rPr>
          <w:rFonts w:ascii="SimSun" w:hAnsi="SimSun" w:hint="eastAsia"/>
          <w:sz w:val="21"/>
          <w:szCs w:val="21"/>
        </w:rPr>
        <w:t>实施。该项目促进实现具体目标9.b以及具体目标1.4、2.3、8.2、12.3和12.5。在莫桑比克，确定了适当的技术用于：i</w:t>
      </w:r>
      <w:r w:rsidR="008B7D33" w:rsidRPr="00BE595B">
        <w:rPr>
          <w:rFonts w:ascii="SimSun" w:hAnsi="SimSun" w:hint="eastAsia"/>
          <w:sz w:val="21"/>
          <w:szCs w:val="21"/>
        </w:rPr>
        <w:t>）</w:t>
      </w:r>
      <w:r w:rsidRPr="00BE595B">
        <w:rPr>
          <w:rFonts w:ascii="SimSun" w:hAnsi="SimSun" w:hint="eastAsia"/>
          <w:sz w:val="21"/>
          <w:szCs w:val="21"/>
        </w:rPr>
        <w:t>开发适合生产优质</w:t>
      </w:r>
      <w:r w:rsidRPr="001E4AB5">
        <w:rPr>
          <w:rFonts w:asciiTheme="minorEastAsia" w:eastAsiaTheme="minorEastAsia" w:hAnsiTheme="minorEastAsia" w:hint="eastAsia"/>
          <w:sz w:val="21"/>
          <w:szCs w:val="21"/>
        </w:rPr>
        <w:t>“</w:t>
      </w:r>
      <w:r w:rsidRPr="00BE595B">
        <w:rPr>
          <w:rFonts w:ascii="SimSun" w:hAnsi="SimSun" w:hint="eastAsia"/>
          <w:sz w:val="21"/>
          <w:szCs w:val="21"/>
        </w:rPr>
        <w:t>罗非鱼苗</w:t>
      </w:r>
      <w:r w:rsidRPr="001E4AB5">
        <w:rPr>
          <w:rFonts w:asciiTheme="minorEastAsia" w:eastAsiaTheme="minorEastAsia" w:hAnsiTheme="minorEastAsia" w:hint="eastAsia"/>
          <w:sz w:val="21"/>
          <w:szCs w:val="21"/>
        </w:rPr>
        <w:t>”</w:t>
      </w:r>
      <w:r w:rsidRPr="00BE595B">
        <w:rPr>
          <w:rFonts w:ascii="SimSun" w:hAnsi="SimSun" w:hint="eastAsia"/>
          <w:sz w:val="21"/>
          <w:szCs w:val="21"/>
        </w:rPr>
        <w:t>的鱼类孵化器；ii</w:t>
      </w:r>
      <w:r w:rsidRPr="001E4AB5">
        <w:rPr>
          <w:rFonts w:asciiTheme="minorEastAsia" w:eastAsiaTheme="minorEastAsia" w:hAnsiTheme="minorEastAsia" w:hint="eastAsia"/>
          <w:sz w:val="21"/>
          <w:szCs w:val="21"/>
        </w:rPr>
        <w:t>）</w:t>
      </w:r>
      <w:r w:rsidRPr="00BE595B">
        <w:rPr>
          <w:rFonts w:ascii="SimSun" w:hAnsi="SimSun" w:hint="eastAsia"/>
          <w:sz w:val="21"/>
          <w:szCs w:val="21"/>
        </w:rPr>
        <w:t>设计和生产将废物转化为沼气和生物肥料的厌氧消化器。这些确定的技术解决方案有助于粮食生产、减少粮食浪费和促进再利用。在塞内加尔，确定了以下适当的技术：</w:t>
      </w:r>
      <w:r w:rsidR="008B7D33" w:rsidRPr="00BE595B">
        <w:rPr>
          <w:rFonts w:ascii="SimSun" w:hAnsi="SimSun"/>
          <w:sz w:val="21"/>
          <w:szCs w:val="21"/>
        </w:rPr>
        <w:t>i</w:t>
      </w:r>
      <w:r w:rsidR="008B7D33" w:rsidRPr="00BE595B">
        <w:rPr>
          <w:rFonts w:ascii="SimSun" w:hAnsi="SimSun" w:hint="eastAsia"/>
          <w:sz w:val="21"/>
          <w:szCs w:val="21"/>
        </w:rPr>
        <w:t>）</w:t>
      </w:r>
      <w:r w:rsidRPr="00BE595B">
        <w:rPr>
          <w:rFonts w:ascii="SimSun" w:hAnsi="SimSun" w:hint="eastAsia"/>
          <w:sz w:val="21"/>
          <w:szCs w:val="21"/>
        </w:rPr>
        <w:t>水果</w:t>
      </w:r>
      <w:r w:rsidRPr="001E4AB5">
        <w:rPr>
          <w:rFonts w:asciiTheme="minorEastAsia" w:eastAsiaTheme="minorEastAsia" w:hAnsiTheme="minorEastAsia" w:hint="eastAsia"/>
          <w:sz w:val="21"/>
          <w:szCs w:val="21"/>
        </w:rPr>
        <w:t>（</w:t>
      </w:r>
      <w:r w:rsidRPr="00BE595B">
        <w:rPr>
          <w:rFonts w:ascii="SimSun" w:hAnsi="SimSun" w:hint="eastAsia"/>
          <w:sz w:val="21"/>
          <w:szCs w:val="21"/>
        </w:rPr>
        <w:t>洋葱和芒果</w:t>
      </w:r>
      <w:r w:rsidRPr="001E4AB5">
        <w:rPr>
          <w:rFonts w:asciiTheme="minorEastAsia" w:eastAsiaTheme="minorEastAsia" w:hAnsiTheme="minorEastAsia" w:hint="eastAsia"/>
          <w:sz w:val="21"/>
          <w:szCs w:val="21"/>
        </w:rPr>
        <w:t>）</w:t>
      </w:r>
      <w:r w:rsidRPr="00BE595B">
        <w:rPr>
          <w:rFonts w:ascii="SimSun" w:hAnsi="SimSun" w:hint="eastAsia"/>
          <w:sz w:val="21"/>
          <w:szCs w:val="21"/>
        </w:rPr>
        <w:t>的简易和可持续干燥；ii</w:t>
      </w:r>
      <w:r w:rsidR="008B7D33" w:rsidRPr="00BE595B">
        <w:rPr>
          <w:rFonts w:ascii="SimSun" w:hAnsi="SimSun" w:hint="eastAsia"/>
          <w:sz w:val="21"/>
          <w:szCs w:val="21"/>
        </w:rPr>
        <w:t>）</w:t>
      </w:r>
      <w:r w:rsidRPr="00BE595B">
        <w:rPr>
          <w:rFonts w:ascii="SimSun" w:hAnsi="SimSun" w:hint="eastAsia"/>
          <w:sz w:val="21"/>
          <w:szCs w:val="21"/>
        </w:rPr>
        <w:t>提取油用于废物回收和增值。这些确定的技术解决方案有助于减少粮食浪费和收获后的损失，并促进废物再利用。在乌干达，确定了</w:t>
      </w:r>
      <w:r w:rsidRPr="001E4AB5">
        <w:rPr>
          <w:rFonts w:asciiTheme="minorEastAsia" w:eastAsiaTheme="minorEastAsia" w:hAnsiTheme="minorEastAsia" w:hint="eastAsia"/>
          <w:sz w:val="21"/>
          <w:szCs w:val="21"/>
        </w:rPr>
        <w:t>“</w:t>
      </w:r>
      <w:r w:rsidRPr="00BE595B">
        <w:rPr>
          <w:rFonts w:ascii="SimSun" w:hAnsi="SimSun" w:hint="eastAsia"/>
          <w:sz w:val="21"/>
          <w:szCs w:val="21"/>
        </w:rPr>
        <w:t>雨水收集和处理</w:t>
      </w:r>
      <w:r w:rsidRPr="001E4AB5">
        <w:rPr>
          <w:rFonts w:asciiTheme="minorEastAsia" w:eastAsiaTheme="minorEastAsia" w:hAnsiTheme="minorEastAsia" w:hint="eastAsia"/>
          <w:sz w:val="21"/>
          <w:szCs w:val="21"/>
        </w:rPr>
        <w:t>”</w:t>
      </w:r>
      <w:r w:rsidRPr="00BE595B">
        <w:rPr>
          <w:rFonts w:ascii="SimSun" w:hAnsi="SimSun" w:hint="eastAsia"/>
          <w:sz w:val="21"/>
          <w:szCs w:val="21"/>
        </w:rPr>
        <w:t>以及</w:t>
      </w:r>
      <w:r w:rsidRPr="001E4AB5">
        <w:rPr>
          <w:rFonts w:asciiTheme="minorEastAsia" w:eastAsiaTheme="minorEastAsia" w:hAnsiTheme="minorEastAsia" w:hint="eastAsia"/>
          <w:sz w:val="21"/>
          <w:szCs w:val="21"/>
        </w:rPr>
        <w:t>“</w:t>
      </w:r>
      <w:r w:rsidRPr="00BE595B">
        <w:rPr>
          <w:rFonts w:ascii="SimSun" w:hAnsi="SimSun" w:hint="eastAsia"/>
          <w:sz w:val="21"/>
          <w:szCs w:val="21"/>
        </w:rPr>
        <w:t>烧制砖块的替代技术</w:t>
      </w:r>
      <w:r w:rsidRPr="001E4AB5">
        <w:rPr>
          <w:rFonts w:asciiTheme="minorEastAsia" w:eastAsiaTheme="minorEastAsia" w:hAnsiTheme="minorEastAsia" w:hint="eastAsia"/>
          <w:sz w:val="21"/>
          <w:szCs w:val="21"/>
        </w:rPr>
        <w:t>”</w:t>
      </w:r>
      <w:r w:rsidRPr="00BE595B">
        <w:rPr>
          <w:rFonts w:ascii="SimSun" w:hAnsi="SimSun" w:hint="eastAsia"/>
          <w:sz w:val="21"/>
          <w:szCs w:val="21"/>
        </w:rPr>
        <w:t>这两个技术解决方案，通过提供一种具有成本效益的解决方案来解决清洁水短缺问题，并为现有烧制砖住房提供环境友好型替代解决方案，从而促进社会经济增长和减贫。在这三个最不发达国家，实施和部署这些技术的业务计划都已最终确定。还对当地利益攸关方进行了培训，使其了解如何使用专利信息数据库中的技术和科学信息来确定适当的技术，以满足具体的发展需求，并编制技术态势和商业计划。</w:t>
      </w:r>
    </w:p>
    <w:p w14:paraId="39AE19FE"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在阿拉伯地区，以下活动促进实现具体目标9.5和9.b：</w:t>
      </w:r>
    </w:p>
    <w:p w14:paraId="03BAD57D"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2023年5月23日至24日，与阿尔及利亚工业部国家工业产权局</w:t>
      </w:r>
      <w:r w:rsidRPr="001E4AB5">
        <w:rPr>
          <w:rFonts w:asciiTheme="minorEastAsia" w:eastAsiaTheme="minorEastAsia" w:hAnsiTheme="minorEastAsia"/>
          <w:sz w:val="21"/>
          <w:szCs w:val="21"/>
        </w:rPr>
        <w:t>（</w:t>
      </w:r>
      <w:r w:rsidRPr="00BE595B">
        <w:rPr>
          <w:rFonts w:ascii="SimSun" w:hAnsi="SimSun"/>
          <w:sz w:val="21"/>
          <w:szCs w:val="21"/>
        </w:rPr>
        <w:t>INAPI</w:t>
      </w:r>
      <w:r w:rsidRPr="001E4AB5">
        <w:rPr>
          <w:rFonts w:asciiTheme="minorEastAsia" w:eastAsiaTheme="minorEastAsia" w:hAnsiTheme="minorEastAsia"/>
          <w:sz w:val="21"/>
          <w:szCs w:val="21"/>
        </w:rPr>
        <w:t>）</w:t>
      </w:r>
      <w:r w:rsidRPr="00BE595B">
        <w:rPr>
          <w:rFonts w:ascii="SimSun" w:hAnsi="SimSun"/>
          <w:sz w:val="21"/>
          <w:szCs w:val="21"/>
        </w:rPr>
        <w:t>合作，在日本工业产权全球信托基金</w:t>
      </w:r>
      <w:r w:rsidRPr="001E4AB5">
        <w:rPr>
          <w:rFonts w:asciiTheme="minorEastAsia" w:eastAsiaTheme="minorEastAsia" w:hAnsiTheme="minorEastAsia"/>
          <w:sz w:val="21"/>
          <w:szCs w:val="21"/>
        </w:rPr>
        <w:t>（</w:t>
      </w:r>
      <w:r w:rsidRPr="00BE595B">
        <w:rPr>
          <w:rFonts w:ascii="SimSun" w:hAnsi="SimSun"/>
          <w:sz w:val="21"/>
          <w:szCs w:val="21"/>
        </w:rPr>
        <w:t>FIT/Japan IP Global</w:t>
      </w:r>
      <w:r w:rsidRPr="001E4AB5">
        <w:rPr>
          <w:rFonts w:asciiTheme="minorEastAsia" w:eastAsiaTheme="minorEastAsia" w:hAnsiTheme="minorEastAsia"/>
          <w:sz w:val="21"/>
          <w:szCs w:val="21"/>
        </w:rPr>
        <w:t>）</w:t>
      </w:r>
      <w:r w:rsidRPr="00BE595B">
        <w:rPr>
          <w:rFonts w:ascii="SimSun" w:hAnsi="SimSun"/>
          <w:sz w:val="21"/>
          <w:szCs w:val="21"/>
        </w:rPr>
        <w:t>的资助下，在阿尔及利亚阿尔及尔举行了WIPO TISC阿拉伯国家区域会议。来自阿拉伯国家联盟和海湾合作委员会专利局</w:t>
      </w:r>
      <w:r w:rsidRPr="001E4AB5">
        <w:rPr>
          <w:rFonts w:asciiTheme="minorEastAsia" w:eastAsiaTheme="minorEastAsia" w:hAnsiTheme="minorEastAsia"/>
          <w:sz w:val="21"/>
          <w:szCs w:val="21"/>
        </w:rPr>
        <w:t>（</w:t>
      </w:r>
      <w:r w:rsidRPr="00BE595B">
        <w:rPr>
          <w:rFonts w:ascii="SimSun" w:hAnsi="SimSun"/>
          <w:sz w:val="21"/>
          <w:szCs w:val="21"/>
        </w:rPr>
        <w:t>GCCPO</w:t>
      </w:r>
      <w:r w:rsidRPr="001E4AB5">
        <w:rPr>
          <w:rFonts w:asciiTheme="minorEastAsia" w:eastAsiaTheme="minorEastAsia" w:hAnsiTheme="minorEastAsia"/>
          <w:sz w:val="21"/>
          <w:szCs w:val="21"/>
        </w:rPr>
        <w:t>）</w:t>
      </w:r>
      <w:r w:rsidRPr="00BE595B">
        <w:rPr>
          <w:rFonts w:ascii="SimSun" w:hAnsi="SimSun"/>
          <w:sz w:val="21"/>
          <w:szCs w:val="21"/>
        </w:rPr>
        <w:t>的代表以及18名国家TISC协调员和专家参加了本次会议，以审查阿拉伯地区各国TISC项目的状况，并探讨加强TISC网络之间区域合作的机会。会议还促进分享产权组织在支持TISC及其相关国家和地区网络方面取得的新进展。</w:t>
      </w:r>
    </w:p>
    <w:p w14:paraId="6716D230"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日本与部分阿拉伯国家</w:t>
      </w:r>
      <w:r w:rsidRPr="001E4AB5">
        <w:rPr>
          <w:rFonts w:asciiTheme="minorEastAsia" w:eastAsiaTheme="minorEastAsia" w:hAnsiTheme="minorEastAsia"/>
          <w:sz w:val="21"/>
          <w:szCs w:val="21"/>
        </w:rPr>
        <w:t>（</w:t>
      </w:r>
      <w:r w:rsidRPr="00BE595B">
        <w:rPr>
          <w:rFonts w:ascii="SimSun" w:hAnsi="SimSun"/>
          <w:sz w:val="21"/>
          <w:szCs w:val="21"/>
        </w:rPr>
        <w:t>巴林、埃及、约旦、摩洛哥、阿曼、沙特阿拉伯、苏丹和突尼斯</w:t>
      </w:r>
      <w:r w:rsidRPr="001E4AB5">
        <w:rPr>
          <w:rFonts w:asciiTheme="minorEastAsia" w:eastAsiaTheme="minorEastAsia" w:hAnsiTheme="minorEastAsia"/>
          <w:sz w:val="21"/>
          <w:szCs w:val="21"/>
        </w:rPr>
        <w:t>）</w:t>
      </w:r>
      <w:r w:rsidRPr="00BE595B">
        <w:rPr>
          <w:rFonts w:ascii="SimSun" w:hAnsi="SimSun"/>
          <w:sz w:val="21"/>
          <w:szCs w:val="21"/>
        </w:rPr>
        <w:t>于2023年1月31日至2月1日举行了关于在数字时代利用知识产权制度促进经济、社会和文化发展的第三届亚洲-阿拉伯知识产权对话。会议探讨了利用现代技术建立有效的知识产权制度的合作领域，并使部分阿拉伯国家受益于产权组织的</w:t>
      </w:r>
      <w:r w:rsidRPr="001E4AB5">
        <w:rPr>
          <w:rFonts w:asciiTheme="minorEastAsia" w:eastAsiaTheme="minorEastAsia" w:hAnsiTheme="minorEastAsia"/>
          <w:sz w:val="21"/>
          <w:szCs w:val="21"/>
        </w:rPr>
        <w:t>“</w:t>
      </w:r>
      <w:r w:rsidRPr="00BE595B">
        <w:rPr>
          <w:rFonts w:ascii="SimSun" w:hAnsi="SimSun"/>
          <w:sz w:val="21"/>
          <w:szCs w:val="21"/>
        </w:rPr>
        <w:t>中小企业知识产权管理诊所</w:t>
      </w:r>
      <w:r w:rsidRPr="001E4AB5">
        <w:rPr>
          <w:rFonts w:asciiTheme="minorEastAsia" w:eastAsiaTheme="minorEastAsia" w:hAnsiTheme="minorEastAsia"/>
          <w:sz w:val="21"/>
          <w:szCs w:val="21"/>
        </w:rPr>
        <w:t>”</w:t>
      </w:r>
      <w:r w:rsidRPr="00BE595B">
        <w:rPr>
          <w:rFonts w:ascii="SimSun" w:hAnsi="SimSun"/>
          <w:sz w:val="21"/>
          <w:szCs w:val="21"/>
        </w:rPr>
        <w:t>项目，该项目旨在根据知识产权密集型行业的中小型企业和初创企业的业务需求提供一对一的专家建议，并就制定知识产权战略和提高产品竞争力的不同方案提供指导，以支持上述企业有效地战略性利用知识产权。实施的</w:t>
      </w:r>
      <w:r w:rsidRPr="001E4AB5">
        <w:rPr>
          <w:rFonts w:asciiTheme="minorEastAsia" w:eastAsiaTheme="minorEastAsia" w:hAnsiTheme="minorEastAsia"/>
          <w:sz w:val="21"/>
          <w:szCs w:val="21"/>
        </w:rPr>
        <w:t>“</w:t>
      </w:r>
      <w:r w:rsidRPr="00BE595B">
        <w:rPr>
          <w:rFonts w:ascii="SimSun" w:hAnsi="SimSun"/>
          <w:sz w:val="21"/>
          <w:szCs w:val="21"/>
        </w:rPr>
        <w:t>知识产权和人工智能：对中小企业的影响</w:t>
      </w:r>
      <w:r w:rsidRPr="001E4AB5">
        <w:rPr>
          <w:rFonts w:asciiTheme="minorEastAsia" w:eastAsiaTheme="minorEastAsia" w:hAnsiTheme="minorEastAsia"/>
          <w:sz w:val="21"/>
          <w:szCs w:val="21"/>
        </w:rPr>
        <w:t>”</w:t>
      </w:r>
      <w:r w:rsidRPr="00BE595B">
        <w:rPr>
          <w:rFonts w:ascii="SimSun" w:hAnsi="SimSun"/>
          <w:sz w:val="21"/>
          <w:szCs w:val="21"/>
        </w:rPr>
        <w:t>项目是另一项后续行动，为人工智能行业的中小企业提供知识产权管理方面的培训和实用建议。</w:t>
      </w:r>
    </w:p>
    <w:p w14:paraId="65E1B4D7"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非洲和阿拉伯地区中小企业生态系统知识产权视角区域间会议于2023年10月5日至6日在摩洛哥卡萨布兰卡举行。该会议为非洲和阿拉伯地区中小企业有效利用企业知识产权提供了一个提高认识、分享经验和良好做法的论坛。该会议还促进了南南合作，佛得角、喀麦隆、埃及、加纳、约旦、尼日尔、阿曼、沙特阿拉伯、坦桑尼亚联合共和国和突尼斯的代表出席了会议。</w:t>
      </w:r>
    </w:p>
    <w:p w14:paraId="178C9273" w14:textId="7AF6AB3D"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2023年11月16日，产权组织为迪拜警察局成员和阿联酋专利局工作人员举办了关于《专利合作条约》</w:t>
      </w:r>
      <w:r w:rsidRPr="001E4AB5">
        <w:rPr>
          <w:rFonts w:asciiTheme="minorEastAsia" w:eastAsiaTheme="minorEastAsia" w:hAnsiTheme="minorEastAsia"/>
          <w:sz w:val="21"/>
          <w:szCs w:val="21"/>
        </w:rPr>
        <w:t>（</w:t>
      </w:r>
      <w:r w:rsidRPr="00BE595B">
        <w:rPr>
          <w:rFonts w:ascii="SimSun" w:hAnsi="SimSun"/>
          <w:sz w:val="21"/>
          <w:szCs w:val="21"/>
        </w:rPr>
        <w:t>PCT</w:t>
      </w:r>
      <w:r w:rsidRPr="001E4AB5">
        <w:rPr>
          <w:rFonts w:asciiTheme="minorEastAsia" w:eastAsiaTheme="minorEastAsia" w:hAnsiTheme="minorEastAsia"/>
          <w:sz w:val="21"/>
          <w:szCs w:val="21"/>
        </w:rPr>
        <w:t>）</w:t>
      </w:r>
      <w:r w:rsidRPr="00BE595B">
        <w:rPr>
          <w:rFonts w:ascii="SimSun" w:hAnsi="SimSun"/>
          <w:sz w:val="21"/>
          <w:szCs w:val="21"/>
        </w:rPr>
        <w:t>和相关知识产权服务的网络研讨会。该网络研讨会旨在就PCT相关主题对上述人员进行培训，概述ePCT平台的新</w:t>
      </w:r>
      <w:r w:rsidRPr="001E4AB5">
        <w:rPr>
          <w:rFonts w:asciiTheme="minorEastAsia" w:eastAsiaTheme="minorEastAsia" w:hAnsiTheme="minorEastAsia"/>
          <w:sz w:val="21"/>
          <w:szCs w:val="21"/>
        </w:rPr>
        <w:t>“</w:t>
      </w:r>
      <w:r w:rsidRPr="00BE595B">
        <w:rPr>
          <w:rFonts w:ascii="SimSun" w:hAnsi="SimSun"/>
          <w:sz w:val="21"/>
          <w:szCs w:val="21"/>
        </w:rPr>
        <w:t>外观和感觉</w:t>
      </w:r>
      <w:r w:rsidRPr="001E4AB5">
        <w:rPr>
          <w:rFonts w:asciiTheme="minorEastAsia" w:eastAsiaTheme="minorEastAsia" w:hAnsiTheme="minorEastAsia"/>
          <w:sz w:val="21"/>
          <w:szCs w:val="21"/>
        </w:rPr>
        <w:t>”</w:t>
      </w:r>
      <w:r w:rsidRPr="00BE595B">
        <w:rPr>
          <w:rFonts w:ascii="SimSun" w:hAnsi="SimSun"/>
          <w:sz w:val="21"/>
          <w:szCs w:val="21"/>
        </w:rPr>
        <w:t>，提高对PCT的认识和促进交流最佳做法，促进专利执法，并在阿联酋树立尊重知识产权的风尚。该网络研讨会以阿拉伯语举行，有125人参加。</w:t>
      </w:r>
    </w:p>
    <w:p w14:paraId="1CC39FD1"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阿拉伯地区知识产权和智库试点项目的实施为智库实现知识产权卓越性的变革之旅奠定了基础。该项目通过量身定制的辅导课程、资产评估和战略指导，加强了参与项目的智库的知识基础，促进在选定国家形成一种提高认识、协作和战略管理的文化，并提高了智库作为知识生产者和知识产权影响者的地位，从而对更广泛的知识产权领域产生了持久的影响。</w:t>
      </w:r>
    </w:p>
    <w:p w14:paraId="29D23B0D"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与埃及科学研究与技术学院</w:t>
      </w:r>
      <w:r w:rsidRPr="001E4AB5">
        <w:rPr>
          <w:rFonts w:asciiTheme="minorEastAsia" w:eastAsiaTheme="minorEastAsia" w:hAnsiTheme="minorEastAsia"/>
          <w:sz w:val="21"/>
          <w:szCs w:val="21"/>
        </w:rPr>
        <w:t>（</w:t>
      </w:r>
      <w:r w:rsidRPr="00BE595B">
        <w:rPr>
          <w:rFonts w:ascii="SimSun" w:hAnsi="SimSun"/>
          <w:sz w:val="21"/>
          <w:szCs w:val="21"/>
        </w:rPr>
        <w:t>ASRT</w:t>
      </w:r>
      <w:r w:rsidRPr="001E4AB5">
        <w:rPr>
          <w:rFonts w:asciiTheme="minorEastAsia" w:eastAsiaTheme="minorEastAsia" w:hAnsiTheme="minorEastAsia"/>
          <w:sz w:val="21"/>
          <w:szCs w:val="21"/>
        </w:rPr>
        <w:t>）</w:t>
      </w:r>
      <w:r w:rsidRPr="00BE595B">
        <w:rPr>
          <w:rFonts w:ascii="SimSun" w:hAnsi="SimSun"/>
          <w:sz w:val="21"/>
          <w:szCs w:val="21"/>
        </w:rPr>
        <w:t>合作实施了关于提高技术转让办公室向创新利益攸关方提供技术转让和知识产权商业化服务的能力的项目。该项目惠及埃及的六个学术和研究机构，从而建立了一个由22名知识产权商业化专家组成的国家专业人员库，并创建了一个国家技术转让办公室网络。该项目还为埃及的学术和研究机构以及公共和私营部门的其他相关机构开发了知识产权商业化能力建设模块。</w:t>
      </w:r>
    </w:p>
    <w:p w14:paraId="30F425CC"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加强摩洛哥和沙特阿拉伯中小企业中介机构知识产权能力项目对商会、企业支持服务机构、孵化器和创新机构等相关服务提供者进行了摸底调查，并对中小企业的知识产权相关需求及其对知识产权制度的认识、获取和使用程度进行了实地评估。</w:t>
      </w:r>
    </w:p>
    <w:p w14:paraId="3596368E"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在转型和发达国家，以下举措促进实现具体目标9.5和9.b：</w:t>
      </w:r>
    </w:p>
    <w:p w14:paraId="49EB5DBC"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促进制定和实施长期和全面的国家知识产权战略</w:t>
      </w:r>
      <w:r w:rsidRPr="001E4AB5">
        <w:rPr>
          <w:rFonts w:asciiTheme="minorEastAsia" w:eastAsiaTheme="minorEastAsia" w:hAnsiTheme="minorEastAsia"/>
          <w:sz w:val="21"/>
          <w:szCs w:val="21"/>
        </w:rPr>
        <w:t>（</w:t>
      </w:r>
      <w:r w:rsidRPr="00BE595B">
        <w:rPr>
          <w:rFonts w:ascii="SimSun" w:hAnsi="SimSun"/>
          <w:sz w:val="21"/>
          <w:szCs w:val="21"/>
        </w:rPr>
        <w:t>NIPS</w:t>
      </w:r>
      <w:r w:rsidRPr="001E4AB5">
        <w:rPr>
          <w:rFonts w:asciiTheme="minorEastAsia" w:eastAsiaTheme="minorEastAsia" w:hAnsiTheme="minorEastAsia"/>
          <w:sz w:val="21"/>
          <w:szCs w:val="21"/>
        </w:rPr>
        <w:t>）</w:t>
      </w:r>
      <w:r w:rsidRPr="00BE595B">
        <w:rPr>
          <w:rFonts w:ascii="SimSun" w:hAnsi="SimSun"/>
          <w:sz w:val="21"/>
          <w:szCs w:val="21"/>
        </w:rPr>
        <w:t>以满足成员国需求的重要性和援助仍然是2023年的优先事项。</w:t>
      </w:r>
    </w:p>
    <w:p w14:paraId="4915491C" w14:textId="5EB7BD70" w:rsidR="002A674D" w:rsidRPr="00BE595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与欧亚专利组织</w:t>
      </w:r>
      <w:r w:rsidRPr="001E4AB5">
        <w:rPr>
          <w:rFonts w:asciiTheme="minorEastAsia" w:eastAsiaTheme="minorEastAsia" w:hAnsiTheme="minorEastAsia"/>
          <w:sz w:val="21"/>
          <w:szCs w:val="21"/>
        </w:rPr>
        <w:t>（</w:t>
      </w:r>
      <w:r w:rsidRPr="00BE595B">
        <w:rPr>
          <w:rFonts w:ascii="SimSun" w:hAnsi="SimSun"/>
          <w:sz w:val="21"/>
          <w:szCs w:val="21"/>
        </w:rPr>
        <w:t>EAPO</w:t>
      </w:r>
      <w:r w:rsidRPr="008B7D33">
        <w:rPr>
          <w:rFonts w:asciiTheme="minorEastAsia" w:eastAsiaTheme="minorEastAsia" w:hAnsiTheme="minorEastAsia"/>
          <w:sz w:val="21"/>
          <w:szCs w:val="21"/>
        </w:rPr>
        <w:t>）</w:t>
      </w:r>
      <w:r w:rsidRPr="00BE595B">
        <w:rPr>
          <w:rFonts w:ascii="SimSun" w:hAnsi="SimSun"/>
          <w:sz w:val="21"/>
          <w:szCs w:val="21"/>
        </w:rPr>
        <w:t>关于加强欧亚专利局成员国技术园区知识产权商业化能力的联合项目。该项目旨在在科技园区建立和维持有效的知识产权管理做法和创新活动，并加强创新利益攸关方之间的知识产权合作，包括该地区的中小企业、学术机构和中介机构</w:t>
      </w:r>
      <w:r w:rsidRPr="008B7D33">
        <w:rPr>
          <w:rFonts w:asciiTheme="minorEastAsia" w:eastAsiaTheme="minorEastAsia" w:hAnsiTheme="minorEastAsia"/>
          <w:sz w:val="21"/>
          <w:szCs w:val="21"/>
        </w:rPr>
        <w:t>（</w:t>
      </w:r>
      <w:r w:rsidRPr="00BE595B">
        <w:rPr>
          <w:rFonts w:ascii="SimSun" w:hAnsi="SimSun"/>
          <w:sz w:val="21"/>
          <w:szCs w:val="21"/>
        </w:rPr>
        <w:t>技术转让办公室、科技园区</w:t>
      </w:r>
      <w:r w:rsidRPr="008B7D33">
        <w:rPr>
          <w:rFonts w:asciiTheme="minorEastAsia" w:eastAsiaTheme="minorEastAsia" w:hAnsiTheme="minorEastAsia"/>
          <w:sz w:val="21"/>
          <w:szCs w:val="21"/>
        </w:rPr>
        <w:t>）</w:t>
      </w:r>
      <w:r w:rsidRPr="00BE595B">
        <w:rPr>
          <w:rFonts w:ascii="SimSun" w:hAnsi="SimSun"/>
          <w:sz w:val="21"/>
          <w:szCs w:val="21"/>
        </w:rPr>
        <w:t>。为科技园区创造一个协作和支持的环境，以分享经验、改进知识产权管理做法和促进创新，对于促进可持续经济增长至关重要。该项目也促进实现具体目标8.2和8.3。</w:t>
      </w:r>
    </w:p>
    <w:p w14:paraId="3FE5084D"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可持续发展目标10：减少国家内部和国家之间的不平等</w:t>
      </w:r>
    </w:p>
    <w:p w14:paraId="4BDCB794"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版权和创意产业</w:t>
      </w:r>
      <w:r w:rsidRPr="00BE595B">
        <w:rPr>
          <w:rFonts w:ascii="SimSun" w:hAnsi="SimSun"/>
          <w:sz w:val="21"/>
          <w:szCs w:val="21"/>
        </w:rPr>
        <w:t>领域，产权组织于2023年7月12日庆祝了《关于为盲人、视力障碍者或其他印刷品阅读障碍者获得已出版作品提供便利的马拉喀什条约》通过十周年。该庆祝活动旨在鼓励更多成员国遵守和实施《马拉喀什条约》，并探讨实现《马拉喀什公约》目标的举措。其中一项举措是无障碍图书联合会</w:t>
      </w:r>
      <w:r w:rsidRPr="001E4AB5">
        <w:rPr>
          <w:rFonts w:asciiTheme="minorEastAsia" w:eastAsiaTheme="minorEastAsia" w:hAnsiTheme="minorEastAsia"/>
          <w:sz w:val="21"/>
          <w:szCs w:val="21"/>
        </w:rPr>
        <w:t>（</w:t>
      </w:r>
      <w:r w:rsidRPr="00BE595B">
        <w:rPr>
          <w:rFonts w:ascii="SimSun" w:hAnsi="SimSun"/>
          <w:sz w:val="21"/>
          <w:szCs w:val="21"/>
        </w:rPr>
        <w:t>ABC</w:t>
      </w:r>
      <w:r w:rsidRPr="001E4AB5">
        <w:rPr>
          <w:rFonts w:asciiTheme="minorEastAsia" w:eastAsiaTheme="minorEastAsia" w:hAnsiTheme="minorEastAsia"/>
          <w:sz w:val="21"/>
          <w:szCs w:val="21"/>
        </w:rPr>
        <w:t>）</w:t>
      </w:r>
      <w:r w:rsidRPr="00BE595B">
        <w:rPr>
          <w:rFonts w:ascii="SimSun" w:hAnsi="SimSun"/>
          <w:sz w:val="21"/>
          <w:szCs w:val="21"/>
        </w:rPr>
        <w:t>，该联合会促进无障碍格式的作品跨境交换，而无需缔约方之间的手续。该庆祝活动促进实现具体目标10.2。</w:t>
      </w:r>
    </w:p>
    <w:p w14:paraId="37007DF7"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产权组织还提供了与《马拉喀什条约》有关的立法援助，以确保视力障碍者与非视力障碍者享有平等的受教育机会，从而使他们能够充分参与社会。此类立法援助促进实现具体目标10.3。</w:t>
      </w:r>
    </w:p>
    <w:p w14:paraId="2DDC4D33"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b/>
          <w:sz w:val="21"/>
          <w:szCs w:val="21"/>
        </w:rPr>
        <w:t>WIPO学院</w:t>
      </w:r>
      <w:r w:rsidRPr="00BE595B">
        <w:rPr>
          <w:rFonts w:ascii="SimSun" w:hAnsi="SimSun"/>
          <w:sz w:val="21"/>
          <w:szCs w:val="21"/>
        </w:rPr>
        <w:t>通过产权组织知识产权教育国际网络</w:t>
      </w:r>
      <w:r w:rsidRPr="001E4AB5">
        <w:rPr>
          <w:rFonts w:asciiTheme="minorEastAsia" w:eastAsiaTheme="minorEastAsia" w:hAnsiTheme="minorEastAsia"/>
          <w:sz w:val="21"/>
          <w:szCs w:val="21"/>
        </w:rPr>
        <w:t>（</w:t>
      </w:r>
      <w:r w:rsidRPr="00BE595B">
        <w:rPr>
          <w:rFonts w:ascii="SimSun" w:hAnsi="SimSun"/>
          <w:sz w:val="21"/>
          <w:szCs w:val="21"/>
        </w:rPr>
        <w:t>WINIPE</w:t>
      </w:r>
      <w:r w:rsidRPr="001E4AB5">
        <w:rPr>
          <w:rFonts w:asciiTheme="minorEastAsia" w:eastAsiaTheme="minorEastAsia" w:hAnsiTheme="minorEastAsia"/>
          <w:sz w:val="21"/>
          <w:szCs w:val="21"/>
        </w:rPr>
        <w:t>）</w:t>
      </w:r>
      <w:r w:rsidRPr="00BE595B">
        <w:rPr>
          <w:rFonts w:ascii="SimSun" w:hAnsi="SimSun"/>
          <w:sz w:val="21"/>
          <w:szCs w:val="21"/>
        </w:rPr>
        <w:t>，扩大了产权组织-哈佛</w:t>
      </w:r>
      <w:r w:rsidR="00AA27D4" w:rsidRPr="00BE595B">
        <w:rPr>
          <w:rFonts w:ascii="SimSun" w:hAnsi="SimSun" w:hint="eastAsia"/>
          <w:sz w:val="21"/>
          <w:szCs w:val="21"/>
        </w:rPr>
        <w:t>专利</w:t>
      </w:r>
      <w:r w:rsidRPr="00BE595B">
        <w:rPr>
          <w:rFonts w:ascii="SimSun" w:hAnsi="SimSun"/>
          <w:sz w:val="21"/>
          <w:szCs w:val="21"/>
        </w:rPr>
        <w:t>X课程等项目的数量，并增加了知识产权学术资源的数量，使产权组织联合硕士学位项目的学生能够获得这些资源，促进实现具体目标10.2。</w:t>
      </w:r>
    </w:p>
    <w:p w14:paraId="2804DF48" w14:textId="64144EC0" w:rsidR="002A674D"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ABC全球图书服务是一个全球无障碍格式图书在线目录，为参与的盲人图书馆提供跨境搜索、订购和交换无障碍图书的能力。截至2023年底，133家图书馆</w:t>
      </w:r>
      <w:r w:rsidRPr="001E4AB5">
        <w:rPr>
          <w:rFonts w:asciiTheme="minorEastAsia" w:eastAsiaTheme="minorEastAsia" w:hAnsiTheme="minorEastAsia"/>
          <w:sz w:val="21"/>
          <w:szCs w:val="21"/>
        </w:rPr>
        <w:t>（</w:t>
      </w:r>
      <w:r w:rsidRPr="00BE595B">
        <w:rPr>
          <w:rFonts w:ascii="SimSun" w:hAnsi="SimSun"/>
          <w:sz w:val="21"/>
          <w:szCs w:val="21"/>
        </w:rPr>
        <w:t>其中74家来自发展中国家和最不发达国家</w:t>
      </w:r>
      <w:r w:rsidRPr="001E4AB5">
        <w:rPr>
          <w:rFonts w:asciiTheme="minorEastAsia" w:eastAsiaTheme="minorEastAsia" w:hAnsiTheme="minorEastAsia"/>
          <w:sz w:val="21"/>
          <w:szCs w:val="21"/>
        </w:rPr>
        <w:t>）</w:t>
      </w:r>
      <w:r w:rsidRPr="00BE595B">
        <w:rPr>
          <w:rFonts w:ascii="SimSun" w:hAnsi="SimSun"/>
          <w:sz w:val="21"/>
          <w:szCs w:val="21"/>
        </w:rPr>
        <w:t>与产权组织签署了一项协议，参与ABC全球图书服务，并可根据《马拉喀什条约》的规定交换900,000本无障碍图书。此外，40家参与的图书馆</w:t>
      </w:r>
      <w:r w:rsidRPr="001E4AB5">
        <w:rPr>
          <w:rFonts w:asciiTheme="minorEastAsia" w:eastAsiaTheme="minorEastAsia" w:hAnsiTheme="minorEastAsia"/>
          <w:sz w:val="21"/>
          <w:szCs w:val="21"/>
        </w:rPr>
        <w:t>（</w:t>
      </w:r>
      <w:r w:rsidRPr="00BE595B">
        <w:rPr>
          <w:rFonts w:ascii="SimSun" w:hAnsi="SimSun"/>
          <w:sz w:val="21"/>
          <w:szCs w:val="21"/>
        </w:rPr>
        <w:t>其中13家来自发展中国家和最不发达国家</w:t>
      </w:r>
      <w:r w:rsidRPr="001E4AB5">
        <w:rPr>
          <w:rFonts w:asciiTheme="minorEastAsia" w:eastAsiaTheme="minorEastAsia" w:hAnsiTheme="minorEastAsia"/>
          <w:sz w:val="21"/>
          <w:szCs w:val="21"/>
        </w:rPr>
        <w:t>）</w:t>
      </w:r>
      <w:r w:rsidRPr="00BE595B">
        <w:rPr>
          <w:rFonts w:ascii="SimSun" w:hAnsi="SimSun"/>
          <w:sz w:val="21"/>
          <w:szCs w:val="21"/>
        </w:rPr>
        <w:t>也选择通过参与ABC补充应用，直接向印刷品阅读障碍读者提供ABC全球图书服务。为了向图书馆提供最适合其自身市场的解决方案，ABC全于2023年推出了一系列网络应用程序接口</w:t>
      </w:r>
      <w:r w:rsidRPr="001E4AB5">
        <w:rPr>
          <w:rFonts w:asciiTheme="minorEastAsia" w:eastAsiaTheme="minorEastAsia" w:hAnsiTheme="minorEastAsia"/>
          <w:sz w:val="21"/>
          <w:szCs w:val="21"/>
        </w:rPr>
        <w:t>（</w:t>
      </w:r>
      <w:r w:rsidRPr="00BE595B">
        <w:rPr>
          <w:rFonts w:ascii="SimSun" w:hAnsi="SimSun"/>
          <w:sz w:val="21"/>
          <w:szCs w:val="21"/>
        </w:rPr>
        <w:t>API</w:t>
      </w:r>
      <w:r w:rsidRPr="001E4AB5">
        <w:rPr>
          <w:rFonts w:asciiTheme="minorEastAsia" w:eastAsiaTheme="minorEastAsia" w:hAnsiTheme="minorEastAsia"/>
          <w:sz w:val="21"/>
          <w:szCs w:val="21"/>
        </w:rPr>
        <w:t>）</w:t>
      </w:r>
      <w:r w:rsidRPr="00BE595B">
        <w:rPr>
          <w:rFonts w:ascii="SimSun" w:hAnsi="SimSun"/>
          <w:sz w:val="21"/>
          <w:szCs w:val="21"/>
        </w:rPr>
        <w:t>，允许图书馆将ABC全球图书服务目录集成到他们自己的用户界面中。目前，泰国和美国的两个图书馆正在试行网络应用程序接口。此外，ABC还积极推广</w:t>
      </w:r>
      <w:r w:rsidRPr="001E4AB5">
        <w:rPr>
          <w:rFonts w:asciiTheme="minorEastAsia" w:eastAsiaTheme="minorEastAsia" w:hAnsiTheme="minorEastAsia"/>
          <w:sz w:val="21"/>
          <w:szCs w:val="21"/>
        </w:rPr>
        <w:t>“</w:t>
      </w:r>
      <w:r w:rsidRPr="00BE595B">
        <w:rPr>
          <w:rFonts w:ascii="SimSun" w:hAnsi="SimSun"/>
          <w:sz w:val="21"/>
          <w:szCs w:val="21"/>
        </w:rPr>
        <w:t>自始无障碍</w:t>
      </w:r>
      <w:r w:rsidRPr="001E4AB5">
        <w:rPr>
          <w:rFonts w:asciiTheme="minorEastAsia" w:eastAsiaTheme="minorEastAsia" w:hAnsiTheme="minorEastAsia"/>
          <w:sz w:val="21"/>
          <w:szCs w:val="21"/>
        </w:rPr>
        <w:t>”</w:t>
      </w:r>
      <w:r w:rsidRPr="00BE595B">
        <w:rPr>
          <w:rFonts w:ascii="SimSun" w:hAnsi="SimSun"/>
          <w:sz w:val="21"/>
          <w:szCs w:val="21"/>
        </w:rPr>
        <w:t>出版原则，该原则规定新出版的书籍必须让所有人都能充分使用，无论他们的能力如何。作为这些努力的一部分，ABC已邀请世界各地的出版商和出版商协会签署《ABC无障碍出版章程》，其中包含八项高层次的理想原则。截至2023年底，已有143家出版商签署了《章程》，其中96家来自发展中国家和最不发达国家。ABC还为出版商提供了名为</w:t>
      </w:r>
      <w:r w:rsidRPr="001E4AB5">
        <w:rPr>
          <w:rFonts w:asciiTheme="minorEastAsia" w:eastAsiaTheme="minorEastAsia" w:hAnsiTheme="minorEastAsia"/>
          <w:sz w:val="21"/>
          <w:szCs w:val="21"/>
        </w:rPr>
        <w:t>“</w:t>
      </w:r>
      <w:r w:rsidRPr="00BE595B">
        <w:rPr>
          <w:rFonts w:ascii="SimSun" w:hAnsi="SimSun"/>
          <w:sz w:val="21"/>
          <w:szCs w:val="21"/>
        </w:rPr>
        <w:t>ABC无障碍出版概念课程</w:t>
      </w:r>
      <w:r w:rsidRPr="001E4AB5">
        <w:rPr>
          <w:rFonts w:asciiTheme="minorEastAsia" w:eastAsiaTheme="minorEastAsia" w:hAnsiTheme="minorEastAsia"/>
          <w:sz w:val="21"/>
          <w:szCs w:val="21"/>
        </w:rPr>
        <w:t>”</w:t>
      </w:r>
      <w:r w:rsidRPr="00BE595B">
        <w:rPr>
          <w:rFonts w:ascii="SimSun" w:hAnsi="SimSun"/>
          <w:sz w:val="21"/>
          <w:szCs w:val="21"/>
        </w:rPr>
        <w:t>的在线课程，该课程主要为出版商设计，但也向公众免费开放。通过免费提供无障碍书籍供跨境交换，并通过与世界各地的出版商宣传</w:t>
      </w:r>
      <w:r w:rsidRPr="001E4AB5">
        <w:rPr>
          <w:rFonts w:asciiTheme="minorEastAsia" w:eastAsiaTheme="minorEastAsia" w:hAnsiTheme="minorEastAsia"/>
          <w:sz w:val="21"/>
          <w:szCs w:val="21"/>
        </w:rPr>
        <w:t>“</w:t>
      </w:r>
      <w:r w:rsidRPr="00BE595B">
        <w:rPr>
          <w:rFonts w:ascii="SimSun" w:hAnsi="SimSun"/>
          <w:sz w:val="21"/>
          <w:szCs w:val="21"/>
        </w:rPr>
        <w:t>自始无障碍</w:t>
      </w:r>
      <w:r w:rsidRPr="001E4AB5">
        <w:rPr>
          <w:rFonts w:asciiTheme="minorEastAsia" w:eastAsiaTheme="minorEastAsia" w:hAnsiTheme="minorEastAsia"/>
          <w:sz w:val="21"/>
          <w:szCs w:val="21"/>
        </w:rPr>
        <w:t>”</w:t>
      </w:r>
      <w:r w:rsidRPr="00BE595B">
        <w:rPr>
          <w:rFonts w:ascii="SimSun" w:hAnsi="SimSun"/>
          <w:sz w:val="21"/>
          <w:szCs w:val="21"/>
        </w:rPr>
        <w:t>出版原则，ABC的活动促进实现具体目标10.2。</w:t>
      </w:r>
    </w:p>
    <w:p w14:paraId="15BBE6B4"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可持续发展目标11：建设包容、安全、有抵御灾害能力和可持续的城市和人类住区</w:t>
      </w:r>
    </w:p>
    <w:p w14:paraId="40AB9A5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b/>
          <w:sz w:val="21"/>
          <w:szCs w:val="21"/>
        </w:rPr>
      </w:pPr>
      <w:r w:rsidRPr="00BE595B">
        <w:rPr>
          <w:rFonts w:ascii="SimSun" w:hAnsi="SimSun"/>
          <w:sz w:val="21"/>
          <w:szCs w:val="21"/>
        </w:rPr>
        <w:t>在</w:t>
      </w:r>
      <w:r w:rsidRPr="00BE595B">
        <w:rPr>
          <w:rFonts w:ascii="SimSun" w:hAnsi="SimSun"/>
          <w:b/>
          <w:sz w:val="21"/>
          <w:szCs w:val="21"/>
        </w:rPr>
        <w:t>全球挑战和伙伴关系</w:t>
      </w:r>
      <w:r w:rsidRPr="00BE595B">
        <w:rPr>
          <w:rFonts w:ascii="SimSun" w:hAnsi="SimSun"/>
          <w:sz w:val="21"/>
          <w:szCs w:val="21"/>
        </w:rPr>
        <w:t>领域，产权组织通过</w:t>
      </w:r>
      <w:r w:rsidRPr="00BE595B">
        <w:rPr>
          <w:rFonts w:ascii="SimSun" w:hAnsi="SimSun"/>
          <w:b/>
          <w:sz w:val="21"/>
          <w:szCs w:val="21"/>
        </w:rPr>
        <w:t>WIPO GREEN</w:t>
      </w:r>
      <w:r w:rsidRPr="00BE595B">
        <w:rPr>
          <w:rFonts w:ascii="SimSun" w:hAnsi="SimSun"/>
          <w:sz w:val="21"/>
          <w:szCs w:val="21"/>
        </w:rPr>
        <w:t>促进实现可持续发展目标11。中国正在进行的</w:t>
      </w:r>
      <w:hyperlink r:id="rId61" w:history="1">
        <w:r w:rsidRPr="00BE595B">
          <w:rPr>
            <w:rStyle w:val="Hyperlink"/>
            <w:rFonts w:ascii="SimSun" w:hAnsi="SimSun"/>
            <w:sz w:val="21"/>
            <w:szCs w:val="21"/>
          </w:rPr>
          <w:t>加速项目</w:t>
        </w:r>
      </w:hyperlink>
      <w:r w:rsidRPr="00BE595B">
        <w:rPr>
          <w:rFonts w:ascii="SimSun" w:hAnsi="SimSun"/>
          <w:sz w:val="21"/>
          <w:szCs w:val="21"/>
        </w:rPr>
        <w:t>一直在寻求解决北京与能源、水、污染和废物相关的环境挑战的方案，预计将扩展到其他大城市。该项目旨在支持中国实现到2030年减少碳排放和到2060年实现碳中和的承诺。该项目已经完成了两项部署：一项是处理酒店综合体中厨房垃圾的堆肥技术，另一项是电动汽车充电站。2023年，与碳管理系统和光伏系统管理相关的两项牵线搭桥以及五项联系得到建立。</w:t>
      </w:r>
    </w:p>
    <w:p w14:paraId="3C1DA7D6"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b/>
          <w:sz w:val="21"/>
          <w:szCs w:val="21"/>
        </w:rPr>
      </w:pPr>
      <w:r w:rsidRPr="00BE595B">
        <w:rPr>
          <w:rFonts w:ascii="SimSun" w:hAnsi="SimSun"/>
          <w:sz w:val="21"/>
          <w:szCs w:val="21"/>
        </w:rPr>
        <w:t>2023年《绿色技术手册》减缓版有一章专门介绍了城市的气候技术，包括建筑、供暖和制冷运输以及废物管理。城市只占地球表面的一小部分，却产生了全球50%至80%的温室气体排放，消耗了全球近75%的物质资源。因此，技术和创新在将城市从碳排放者转变为碳汇方面发挥至关重要的作用。本章探讨了城市脱碳的成熟技术、前沿技术和地平线技术。所讨论的议题包括低碳流动性、供暖、冷却和材料效率。引言部分介绍的主要趋势集中在技术、金融和专利方面。</w:t>
      </w:r>
    </w:p>
    <w:p w14:paraId="544BB66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b/>
          <w:sz w:val="21"/>
          <w:szCs w:val="21"/>
        </w:rPr>
      </w:pPr>
      <w:r w:rsidRPr="00BE595B">
        <w:rPr>
          <w:rFonts w:ascii="SimSun" w:hAnsi="SimSun"/>
          <w:sz w:val="21"/>
          <w:szCs w:val="21"/>
        </w:rPr>
        <w:t>在</w:t>
      </w:r>
      <w:r w:rsidRPr="00BE595B">
        <w:rPr>
          <w:rFonts w:ascii="SimSun" w:hAnsi="SimSun"/>
          <w:b/>
          <w:sz w:val="21"/>
          <w:szCs w:val="21"/>
        </w:rPr>
        <w:t>传统知识</w:t>
      </w:r>
      <w:r w:rsidRPr="00BE595B">
        <w:rPr>
          <w:rFonts w:ascii="SimSun" w:hAnsi="SimSun"/>
          <w:sz w:val="21"/>
          <w:szCs w:val="21"/>
        </w:rPr>
        <w:t>领域，产权组织提供服务和方案，旨在协助土著人民和当地社区参与产权组织的活动并从中受益，以期更好地保护他们的传统知识、传统文化表现形式和遗传资源。WEP、TMK项目、摄影奖、新技术和土著人民项目以及时尚对话致力于保护土著人民和当地社区的文化遗产，帮助他们保护其传统知识和传统文化表现形式。此外，IGC继续在国际层面就传统知识和传统文化表现形式的知识产权保护文书进行谈判，旨在保护传统知识或传统文化表现形式，防止第三方未经授权使用或不当使用。产权组织在这一领域的工作促进实现具体目标11.4。</w:t>
      </w:r>
    </w:p>
    <w:p w14:paraId="27BCEECC" w14:textId="7A1E04DF" w:rsidR="002A674D"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b/>
          <w:sz w:val="21"/>
          <w:szCs w:val="21"/>
        </w:rPr>
      </w:pPr>
      <w:r w:rsidRPr="00BE595B">
        <w:rPr>
          <w:rFonts w:ascii="SimSun" w:hAnsi="SimSun"/>
          <w:sz w:val="21"/>
          <w:szCs w:val="21"/>
        </w:rPr>
        <w:t>ABC的培训和技术援助</w:t>
      </w:r>
      <w:r w:rsidRPr="001E4AB5">
        <w:rPr>
          <w:rFonts w:asciiTheme="minorEastAsia" w:eastAsiaTheme="minorEastAsia" w:hAnsiTheme="minorEastAsia"/>
          <w:sz w:val="21"/>
          <w:szCs w:val="21"/>
        </w:rPr>
        <w:t>（</w:t>
      </w:r>
      <w:r w:rsidRPr="00BE595B">
        <w:rPr>
          <w:rFonts w:ascii="SimSun" w:hAnsi="SimSun"/>
          <w:sz w:val="21"/>
          <w:szCs w:val="21"/>
        </w:rPr>
        <w:t>TTA</w:t>
      </w:r>
      <w:r w:rsidRPr="001E4AB5">
        <w:rPr>
          <w:rFonts w:asciiTheme="minorEastAsia" w:eastAsiaTheme="minorEastAsia" w:hAnsiTheme="minorEastAsia"/>
          <w:sz w:val="21"/>
          <w:szCs w:val="21"/>
        </w:rPr>
        <w:t>）</w:t>
      </w:r>
      <w:r w:rsidRPr="00BE595B">
        <w:rPr>
          <w:rFonts w:ascii="SimSun" w:hAnsi="SimSun"/>
          <w:sz w:val="21"/>
          <w:szCs w:val="21"/>
        </w:rPr>
        <w:t>项目推动了无障碍材料的分散生产，使区域合作伙伴能够创作对其文化遗产特别重要的作品的无障碍版本，并通过ABC全球图书服务与世界分享，从而促进实现具体目标11.4。</w:t>
      </w:r>
    </w:p>
    <w:p w14:paraId="25627750"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可持续发展目标12：采用可持续的消费和生产模式</w:t>
      </w:r>
    </w:p>
    <w:p w14:paraId="7749266A" w14:textId="6CADD924"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产权组织努力促进可持续</w:t>
      </w:r>
      <w:r w:rsidRPr="00BE595B">
        <w:rPr>
          <w:rFonts w:ascii="SimSun" w:hAnsi="SimSun"/>
          <w:b/>
          <w:sz w:val="21"/>
          <w:szCs w:val="21"/>
        </w:rPr>
        <w:t>采购</w:t>
      </w:r>
      <w:r w:rsidRPr="00BE595B">
        <w:rPr>
          <w:rFonts w:ascii="SimSun" w:hAnsi="SimSun"/>
          <w:sz w:val="21"/>
          <w:szCs w:val="21"/>
        </w:rPr>
        <w:t>，同时确保公平和有效竞争。根据市场成熟度，供应商在可持续发展方面的努力将被记录，仅供参考，或作为整体投标评估的一部分。产权组织采用了联合国管理问题高级别委员会</w:t>
      </w:r>
      <w:r w:rsidRPr="001E4AB5">
        <w:rPr>
          <w:rFonts w:asciiTheme="minorEastAsia" w:eastAsiaTheme="minorEastAsia" w:hAnsiTheme="minorEastAsia"/>
          <w:sz w:val="21"/>
          <w:szCs w:val="21"/>
        </w:rPr>
        <w:t>（</w:t>
      </w:r>
      <w:r w:rsidRPr="00BE595B">
        <w:rPr>
          <w:rFonts w:ascii="SimSun" w:hAnsi="SimSun"/>
          <w:sz w:val="21"/>
          <w:szCs w:val="21"/>
        </w:rPr>
        <w:t>HLCM</w:t>
      </w:r>
      <w:r w:rsidRPr="001E4AB5">
        <w:rPr>
          <w:rFonts w:asciiTheme="minorEastAsia" w:eastAsiaTheme="minorEastAsia" w:hAnsiTheme="minorEastAsia"/>
          <w:sz w:val="21"/>
          <w:szCs w:val="21"/>
        </w:rPr>
        <w:t>）</w:t>
      </w:r>
      <w:r w:rsidRPr="00BE595B">
        <w:rPr>
          <w:rFonts w:ascii="SimSun" w:hAnsi="SimSun"/>
          <w:sz w:val="21"/>
          <w:szCs w:val="21"/>
        </w:rPr>
        <w:t>采购网络</w:t>
      </w:r>
      <w:r w:rsidRPr="001E4AB5">
        <w:rPr>
          <w:rFonts w:asciiTheme="minorEastAsia" w:eastAsiaTheme="minorEastAsia" w:hAnsiTheme="minorEastAsia"/>
          <w:sz w:val="21"/>
          <w:szCs w:val="21"/>
        </w:rPr>
        <w:t>（</w:t>
      </w:r>
      <w:r w:rsidRPr="00BE595B">
        <w:rPr>
          <w:rFonts w:ascii="SimSun" w:hAnsi="SimSun"/>
          <w:sz w:val="21"/>
          <w:szCs w:val="21"/>
        </w:rPr>
        <w:t>PN</w:t>
      </w:r>
      <w:r w:rsidRPr="001E4AB5">
        <w:rPr>
          <w:rFonts w:asciiTheme="minorEastAsia" w:eastAsiaTheme="minorEastAsia" w:hAnsiTheme="minorEastAsia"/>
          <w:sz w:val="21"/>
          <w:szCs w:val="21"/>
        </w:rPr>
        <w:t>）</w:t>
      </w:r>
      <w:r w:rsidRPr="00BE595B">
        <w:rPr>
          <w:rFonts w:ascii="SimSun" w:hAnsi="SimSun"/>
          <w:sz w:val="21"/>
          <w:szCs w:val="21"/>
        </w:rPr>
        <w:t>对可持续性的定义，该定义包含三大支柱：i)环境因素，包括负责任地利用自然资源、水电消耗、废物减少和管理；ii)社会因素，包括平等、多样性和尊重人权、无障碍、遵守劳工标准；iii)经济可持续性，指包括购置、维护、运营和报废管理成本</w:t>
      </w:r>
      <w:r w:rsidRPr="001E4AB5">
        <w:rPr>
          <w:rFonts w:asciiTheme="minorEastAsia" w:eastAsiaTheme="minorEastAsia" w:hAnsiTheme="minorEastAsia"/>
          <w:sz w:val="21"/>
          <w:szCs w:val="21"/>
        </w:rPr>
        <w:t>（</w:t>
      </w:r>
      <w:r w:rsidRPr="00BE595B">
        <w:rPr>
          <w:rFonts w:ascii="SimSun" w:hAnsi="SimSun"/>
          <w:sz w:val="21"/>
          <w:szCs w:val="21"/>
        </w:rPr>
        <w:t>包括废物处理</w:t>
      </w:r>
      <w:r w:rsidRPr="001E4AB5">
        <w:rPr>
          <w:rFonts w:asciiTheme="minorEastAsia" w:eastAsiaTheme="minorEastAsia" w:hAnsiTheme="minorEastAsia"/>
          <w:sz w:val="21"/>
          <w:szCs w:val="21"/>
        </w:rPr>
        <w:t>）</w:t>
      </w:r>
      <w:r w:rsidRPr="00BE595B">
        <w:rPr>
          <w:rFonts w:ascii="SimSun" w:hAnsi="SimSun"/>
          <w:sz w:val="21"/>
          <w:szCs w:val="21"/>
        </w:rPr>
        <w:t>在内的整个生命周期成本。产权组织的采购框架完全可供视力障碍者使用，并促进实现具体目标12.7。</w:t>
      </w:r>
    </w:p>
    <w:p w14:paraId="428F3DC7"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全球挑战和伙伴关系</w:t>
      </w:r>
      <w:r w:rsidRPr="00BE595B">
        <w:rPr>
          <w:rFonts w:ascii="SimSun" w:hAnsi="SimSun"/>
          <w:sz w:val="21"/>
          <w:szCs w:val="21"/>
        </w:rPr>
        <w:t>领域，WIPO GREEN创新技术和需求数据库包括一个关于</w:t>
      </w:r>
      <w:hyperlink r:id="rId62" w:history="1">
        <w:r w:rsidRPr="00BE595B">
          <w:rPr>
            <w:rStyle w:val="Hyperlink"/>
            <w:rFonts w:ascii="SimSun" w:hAnsi="SimSun"/>
            <w:sz w:val="21"/>
            <w:szCs w:val="21"/>
          </w:rPr>
          <w:t>污染和废物</w:t>
        </w:r>
      </w:hyperlink>
      <w:r w:rsidRPr="00BE595B">
        <w:rPr>
          <w:rFonts w:ascii="SimSun" w:hAnsi="SimSun"/>
          <w:sz w:val="21"/>
          <w:szCs w:val="21"/>
        </w:rPr>
        <w:t>的部分，共有17,899个条目。长期以来，污染一直是工业发展的忠实伴侣，对所有生物、景观、土壤、空气和水产生巨大影响。在世界许多地方，情况正在而且一直在改善，但远非所有地区都在改善，最严重的污染之一，即温室气体排放的影响才刚刚开始变得非常明显和无处不在。该数据库还包括一个关于</w:t>
      </w:r>
      <w:hyperlink r:id="rId63" w:history="1">
        <w:r w:rsidRPr="00BE595B">
          <w:rPr>
            <w:rStyle w:val="Hyperlink"/>
            <w:rFonts w:ascii="SimSun" w:hAnsi="SimSun"/>
            <w:sz w:val="21"/>
            <w:szCs w:val="21"/>
          </w:rPr>
          <w:t>产品、材料和工艺</w:t>
        </w:r>
      </w:hyperlink>
      <w:r w:rsidRPr="00BE595B">
        <w:rPr>
          <w:rFonts w:ascii="SimSun" w:hAnsi="SimSun"/>
          <w:sz w:val="21"/>
          <w:szCs w:val="21"/>
        </w:rPr>
        <w:t>的部分，共11,007个条目。实现稳定的产品和材料流支撑着消费和经济，并且在大量的环境和温室气体足迹方面有着悠久的记录。可以而且正在开展很多工作，以更少的资源生产更多的产品，或者用更环保的材料取代有问题的材料。该数据库进一步开发了与减少时装业对环境的影响有关的190项技术的</w:t>
      </w:r>
      <w:hyperlink r:id="rId64" w:history="1">
        <w:r w:rsidRPr="00BE595B">
          <w:rPr>
            <w:rStyle w:val="Hyperlink"/>
            <w:rFonts w:ascii="SimSun" w:hAnsi="SimSun"/>
            <w:sz w:val="21"/>
            <w:szCs w:val="21"/>
          </w:rPr>
          <w:t>汇编</w:t>
        </w:r>
      </w:hyperlink>
      <w:r w:rsidRPr="00BE595B">
        <w:rPr>
          <w:rFonts w:ascii="SimSun" w:hAnsi="SimSun"/>
          <w:sz w:val="21"/>
          <w:szCs w:val="21"/>
        </w:rPr>
        <w:t>。目前正在编制一份相关出版物。这项活动促进实现具体目标12.a。</w:t>
      </w:r>
    </w:p>
    <w:p w14:paraId="1E1B1E79" w14:textId="4C53B68E" w:rsidR="002A674D"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绿色技术手册》减缓版有一章是关于工业4.0技术的。钢铁和水泥的温室气体排放量约占所有工业温室气体排放量的一半，占全球排放量的近14%。全球人口增长和城市化趋势是建筑和运输业对钢铁和水泥需求不断增长的关键驱动力。因此，技术进步通过优化材料使用、改进生产工艺和采用替代燃料，在减缓气候变化影响方面发挥着关键作用。</w:t>
      </w:r>
    </w:p>
    <w:p w14:paraId="5366B8DC"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可持续发展目标13：采取紧急行动应对气候变化及其影响</w:t>
      </w:r>
    </w:p>
    <w:p w14:paraId="64196F91"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航空旅行造成了大量二氧化碳和其他温室气体排放。为了持续努力对气候行动</w:t>
      </w:r>
      <w:r w:rsidRPr="001E4AB5">
        <w:rPr>
          <w:rFonts w:asciiTheme="minorEastAsia" w:eastAsiaTheme="minorEastAsia" w:hAnsiTheme="minorEastAsia"/>
          <w:sz w:val="21"/>
          <w:szCs w:val="21"/>
        </w:rPr>
        <w:t>（</w:t>
      </w:r>
      <w:r w:rsidRPr="00BE595B">
        <w:rPr>
          <w:rFonts w:ascii="SimSun" w:hAnsi="SimSun"/>
          <w:sz w:val="21"/>
          <w:szCs w:val="21"/>
        </w:rPr>
        <w:t>可持续发展目标13</w:t>
      </w:r>
      <w:r w:rsidRPr="001E4AB5">
        <w:rPr>
          <w:rFonts w:asciiTheme="minorEastAsia" w:eastAsiaTheme="minorEastAsia" w:hAnsiTheme="minorEastAsia"/>
          <w:sz w:val="21"/>
          <w:szCs w:val="21"/>
        </w:rPr>
        <w:t>）</w:t>
      </w:r>
      <w:r w:rsidRPr="00BE595B">
        <w:rPr>
          <w:rFonts w:ascii="SimSun" w:hAnsi="SimSun"/>
          <w:sz w:val="21"/>
          <w:szCs w:val="21"/>
        </w:rPr>
        <w:t>产生积极影响，产权组织于2023年发布了一项新的旅行政策，将公务差旅限制为</w:t>
      </w:r>
      <w:r w:rsidRPr="001E4AB5">
        <w:rPr>
          <w:rFonts w:asciiTheme="minorEastAsia" w:eastAsiaTheme="minorEastAsia" w:hAnsiTheme="minorEastAsia"/>
          <w:sz w:val="21"/>
          <w:szCs w:val="21"/>
        </w:rPr>
        <w:t>“</w:t>
      </w:r>
      <w:r w:rsidRPr="00BE595B">
        <w:rPr>
          <w:rFonts w:ascii="SimSun" w:hAnsi="SimSun"/>
          <w:sz w:val="21"/>
          <w:szCs w:val="21"/>
        </w:rPr>
        <w:t>仅重要</w:t>
      </w:r>
      <w:r w:rsidRPr="001E4AB5">
        <w:rPr>
          <w:rFonts w:asciiTheme="minorEastAsia" w:eastAsiaTheme="minorEastAsia" w:hAnsiTheme="minorEastAsia"/>
          <w:sz w:val="21"/>
          <w:szCs w:val="21"/>
        </w:rPr>
        <w:t>”</w:t>
      </w:r>
      <w:r w:rsidRPr="00BE595B">
        <w:rPr>
          <w:rFonts w:ascii="SimSun" w:hAnsi="SimSun"/>
          <w:sz w:val="21"/>
          <w:szCs w:val="21"/>
        </w:rPr>
        <w:t>差旅，使用最直接、最经济的路线和交通方式。选择最直接的路线意味着需要避免多次转机。第三方旅行者只能乘坐经济舱，这就减少了每位旅客的温室气体排放量。在从日内瓦前往欧洲目的地的情况下，或者在乘坐火车旅行可以减少碳足迹的情况下，还强烈鼓励选择火车旅行作为航空旅行的替代方式。</w:t>
      </w:r>
      <w:r w:rsidRPr="00BE595B">
        <w:rPr>
          <w:rFonts w:ascii="SimSun" w:hAnsi="SimSun"/>
          <w:b/>
          <w:sz w:val="21"/>
          <w:szCs w:val="21"/>
        </w:rPr>
        <w:t>中央服务司</w:t>
      </w:r>
      <w:r w:rsidRPr="00BE595B">
        <w:rPr>
          <w:rFonts w:ascii="SimSun" w:hAnsi="SimSun"/>
          <w:sz w:val="21"/>
          <w:szCs w:val="21"/>
        </w:rPr>
        <w:t>的这一举措促进实现具体目标13.2。</w:t>
      </w:r>
    </w:p>
    <w:p w14:paraId="4B31467E"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在加勒比地区，产权组织实施了利用知识产权、技术转让和商业化解决塑料废物问题项目，旨在加强西印度群岛大学</w:t>
      </w:r>
      <w:r w:rsidRPr="001E4AB5">
        <w:rPr>
          <w:rFonts w:asciiTheme="minorEastAsia" w:eastAsiaTheme="minorEastAsia" w:hAnsiTheme="minorEastAsia"/>
          <w:sz w:val="21"/>
          <w:szCs w:val="21"/>
        </w:rPr>
        <w:t>（</w:t>
      </w:r>
      <w:r w:rsidRPr="00BE595B">
        <w:rPr>
          <w:rFonts w:ascii="SimSun" w:hAnsi="SimSun"/>
          <w:sz w:val="21"/>
          <w:szCs w:val="21"/>
        </w:rPr>
        <w:t>UWI</w:t>
      </w:r>
      <w:r w:rsidRPr="001E4AB5">
        <w:rPr>
          <w:rFonts w:asciiTheme="minorEastAsia" w:eastAsiaTheme="minorEastAsia" w:hAnsiTheme="minorEastAsia"/>
          <w:sz w:val="21"/>
          <w:szCs w:val="21"/>
        </w:rPr>
        <w:t>）</w:t>
      </w:r>
      <w:r w:rsidRPr="00BE595B">
        <w:rPr>
          <w:rFonts w:ascii="SimSun" w:hAnsi="SimSun"/>
          <w:sz w:val="21"/>
          <w:szCs w:val="21"/>
        </w:rPr>
        <w:t>的加勒比科学家和商业利益攸关方的能力，并促进与国际伙伴的合作开发和技术转让，以解决海水、水道和垃圾填埋场的塑料废物污染问题。该项目重点关注知识产权保护和商业化，旨在鼓励和评估加勒比地区这一领域的技术研究、开发和商业化。作为该项目的一部分，将与总检察长和法律事务部、特立尼达和多巴哥知识产权局</w:t>
      </w:r>
      <w:r w:rsidRPr="001E4AB5">
        <w:rPr>
          <w:rFonts w:asciiTheme="minorEastAsia" w:eastAsiaTheme="minorEastAsia" w:hAnsiTheme="minorEastAsia"/>
          <w:sz w:val="21"/>
          <w:szCs w:val="21"/>
        </w:rPr>
        <w:t>（</w:t>
      </w:r>
      <w:r w:rsidRPr="00BE595B">
        <w:rPr>
          <w:rFonts w:ascii="SimSun" w:hAnsi="SimSun"/>
          <w:sz w:val="21"/>
          <w:szCs w:val="21"/>
        </w:rPr>
        <w:t>TTIPO</w:t>
      </w:r>
      <w:r w:rsidRPr="001E4AB5">
        <w:rPr>
          <w:rFonts w:asciiTheme="minorEastAsia" w:eastAsiaTheme="minorEastAsia" w:hAnsiTheme="minorEastAsia"/>
          <w:sz w:val="21"/>
          <w:szCs w:val="21"/>
        </w:rPr>
        <w:t>）</w:t>
      </w:r>
      <w:r w:rsidRPr="00BE595B">
        <w:rPr>
          <w:rFonts w:ascii="SimSun" w:hAnsi="SimSun"/>
          <w:sz w:val="21"/>
          <w:szCs w:val="21"/>
        </w:rPr>
        <w:t>合作，在日本工业产权全球信托基金和日本专利局的支持下组织一个论坛。该论坛将于2024年4月初在特立尼达和多巴哥西印度群岛大学的圣奥古斯丁校区举行，届时将向同行、公共部门官员和私营部门利益相关者介绍研究人员的研究结果，并促进公私伙伴关系。已收到三项提案：i</w:t>
      </w:r>
      <w:r w:rsidR="008B7D33" w:rsidRPr="00BE595B">
        <w:rPr>
          <w:rFonts w:ascii="SimSun" w:hAnsi="SimSun" w:hint="eastAsia"/>
          <w:sz w:val="21"/>
          <w:szCs w:val="21"/>
        </w:rPr>
        <w:t>）</w:t>
      </w:r>
      <w:r w:rsidRPr="00BE595B">
        <w:rPr>
          <w:rFonts w:ascii="SimSun" w:hAnsi="SimSun"/>
          <w:sz w:val="21"/>
          <w:szCs w:val="21"/>
        </w:rPr>
        <w:t>鲁埃尔</w:t>
      </w:r>
      <w:r w:rsidR="006920C5" w:rsidRPr="00BE595B">
        <w:rPr>
          <w:rFonts w:ascii="SimSun" w:hAnsi="SimSun"/>
          <w:sz w:val="21"/>
          <w:szCs w:val="21"/>
        </w:rPr>
        <w:t>·</w:t>
      </w:r>
      <w:r w:rsidRPr="00BE595B">
        <w:rPr>
          <w:rFonts w:ascii="SimSun" w:hAnsi="SimSun"/>
          <w:sz w:val="21"/>
          <w:szCs w:val="21"/>
        </w:rPr>
        <w:t>埃利斯博士提出的使用天然纤维代替泡沫塑料用于食品包装；ii</w:t>
      </w:r>
      <w:r w:rsidRPr="001E4AB5">
        <w:rPr>
          <w:rFonts w:asciiTheme="minorEastAsia" w:eastAsiaTheme="minorEastAsia" w:hAnsiTheme="minorEastAsia"/>
          <w:sz w:val="21"/>
          <w:szCs w:val="21"/>
        </w:rPr>
        <w:t>）</w:t>
      </w:r>
      <w:r w:rsidRPr="00BE595B">
        <w:rPr>
          <w:rFonts w:ascii="SimSun" w:hAnsi="SimSun"/>
          <w:sz w:val="21"/>
          <w:szCs w:val="21"/>
        </w:rPr>
        <w:t>乔伊恩·马克斯博士提出的生物基材料作为聚乙烯、聚丙烯和聚苯乙烯</w:t>
      </w:r>
      <w:r w:rsidRPr="001E4AB5">
        <w:rPr>
          <w:rFonts w:asciiTheme="minorEastAsia" w:eastAsiaTheme="minorEastAsia" w:hAnsiTheme="minorEastAsia"/>
          <w:sz w:val="21"/>
          <w:szCs w:val="21"/>
        </w:rPr>
        <w:t>（</w:t>
      </w:r>
      <w:r w:rsidRPr="00BE595B">
        <w:rPr>
          <w:rFonts w:ascii="SimSun" w:hAnsi="SimSun"/>
          <w:sz w:val="21"/>
          <w:szCs w:val="21"/>
        </w:rPr>
        <w:t>泡沫塑料</w:t>
      </w:r>
      <w:r w:rsidRPr="001E4AB5">
        <w:rPr>
          <w:rFonts w:asciiTheme="minorEastAsia" w:eastAsiaTheme="minorEastAsia" w:hAnsiTheme="minorEastAsia"/>
          <w:sz w:val="21"/>
          <w:szCs w:val="21"/>
        </w:rPr>
        <w:t>）</w:t>
      </w:r>
      <w:r w:rsidRPr="00BE595B">
        <w:rPr>
          <w:rFonts w:ascii="SimSun" w:hAnsi="SimSun"/>
          <w:sz w:val="21"/>
          <w:szCs w:val="21"/>
        </w:rPr>
        <w:t>包装的替代品；iii</w:t>
      </w:r>
      <w:r w:rsidRPr="001E4AB5">
        <w:rPr>
          <w:rFonts w:asciiTheme="minorEastAsia" w:eastAsiaTheme="minorEastAsia" w:hAnsiTheme="minorEastAsia"/>
          <w:sz w:val="21"/>
          <w:szCs w:val="21"/>
        </w:rPr>
        <w:t>）</w:t>
      </w:r>
      <w:r w:rsidRPr="00BE595B">
        <w:rPr>
          <w:rFonts w:ascii="SimSun" w:hAnsi="SimSun"/>
          <w:sz w:val="21"/>
          <w:szCs w:val="21"/>
        </w:rPr>
        <w:t>从</w:t>
      </w:r>
      <w:r w:rsidRPr="001E4AB5">
        <w:rPr>
          <w:rFonts w:asciiTheme="minorEastAsia" w:eastAsiaTheme="minorEastAsia" w:hAnsiTheme="minorEastAsia"/>
          <w:sz w:val="21"/>
          <w:szCs w:val="21"/>
        </w:rPr>
        <w:t>“</w:t>
      </w:r>
      <w:r w:rsidRPr="00BE595B">
        <w:rPr>
          <w:rFonts w:ascii="SimSun" w:hAnsi="SimSun"/>
          <w:sz w:val="21"/>
          <w:szCs w:val="21"/>
        </w:rPr>
        <w:t>微观解决方案</w:t>
      </w:r>
      <w:r w:rsidRPr="001E4AB5">
        <w:rPr>
          <w:rFonts w:asciiTheme="minorEastAsia" w:eastAsiaTheme="minorEastAsia" w:hAnsiTheme="minorEastAsia"/>
          <w:sz w:val="21"/>
          <w:szCs w:val="21"/>
        </w:rPr>
        <w:t>”</w:t>
      </w:r>
      <w:r w:rsidRPr="00BE595B">
        <w:rPr>
          <w:rFonts w:ascii="SimSun" w:hAnsi="SimSun"/>
          <w:sz w:val="21"/>
          <w:szCs w:val="21"/>
        </w:rPr>
        <w:t>的角度审视塑料问题：新发明的可能方法，这与莱格娜·亨利博士、费利西亚·考克斯和沙米卡·斯宾塞博士在加勒比小国所需的小规模解决方案相匹配。本项目促进实现具体目标13.1和13.b，以及具体目标8.2、9.4、9.5、9.b和14.7。</w:t>
      </w:r>
    </w:p>
    <w:p w14:paraId="4F8EE06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亚太地区，产权组织继续协助纽埃政府为其海洋保护创新融资机制创建品牌，并发展更广泛的具有气候复原力的自然环境和蓝色经济。2023年9月29日，在纽约举行的联合国大会第七十八届会议期间的一次会外活动中，与泛海</w:t>
      </w:r>
      <w:r w:rsidRPr="001E4AB5">
        <w:rPr>
          <w:rFonts w:asciiTheme="minorEastAsia" w:eastAsiaTheme="minorEastAsia" w:hAnsiTheme="minorEastAsia"/>
          <w:sz w:val="21"/>
          <w:szCs w:val="21"/>
        </w:rPr>
        <w:t>（</w:t>
      </w:r>
      <w:r w:rsidRPr="00BE595B">
        <w:rPr>
          <w:rFonts w:ascii="SimSun" w:hAnsi="SimSun"/>
          <w:sz w:val="21"/>
          <w:szCs w:val="21"/>
        </w:rPr>
        <w:t>NOW</w:t>
      </w:r>
      <w:r w:rsidRPr="001E4AB5">
        <w:rPr>
          <w:rFonts w:asciiTheme="minorEastAsia" w:eastAsiaTheme="minorEastAsia" w:hAnsiTheme="minorEastAsia"/>
          <w:sz w:val="21"/>
          <w:szCs w:val="21"/>
        </w:rPr>
        <w:t>）</w:t>
      </w:r>
      <w:r w:rsidRPr="00BE595B">
        <w:rPr>
          <w:rFonts w:ascii="SimSun" w:hAnsi="SimSun"/>
          <w:sz w:val="21"/>
          <w:szCs w:val="21"/>
        </w:rPr>
        <w:t>信托基金、蓝色自然联盟、保护国际和麦肯锡咨询公司合作，制定并启动了</w:t>
      </w:r>
      <w:hyperlink r:id="rId65" w:history="1">
        <w:r w:rsidRPr="00BE595B">
          <w:rPr>
            <w:rStyle w:val="Hyperlink"/>
            <w:rFonts w:ascii="SimSun" w:hAnsi="SimSun"/>
            <w:sz w:val="21"/>
            <w:szCs w:val="21"/>
          </w:rPr>
          <w:t>海洋保护承诺</w:t>
        </w:r>
      </w:hyperlink>
      <w:r w:rsidRPr="001E4AB5">
        <w:rPr>
          <w:rFonts w:asciiTheme="minorEastAsia" w:eastAsiaTheme="minorEastAsia" w:hAnsiTheme="minorEastAsia"/>
          <w:sz w:val="21"/>
          <w:szCs w:val="21"/>
        </w:rPr>
        <w:t>（</w:t>
      </w:r>
      <w:r w:rsidRPr="00BE595B">
        <w:rPr>
          <w:rFonts w:ascii="SimSun" w:hAnsi="SimSun"/>
          <w:sz w:val="21"/>
          <w:szCs w:val="21"/>
        </w:rPr>
        <w:t>OCC</w:t>
      </w:r>
      <w:r w:rsidRPr="001E4AB5">
        <w:rPr>
          <w:rFonts w:asciiTheme="minorEastAsia" w:eastAsiaTheme="minorEastAsia" w:hAnsiTheme="minorEastAsia"/>
          <w:sz w:val="21"/>
          <w:szCs w:val="21"/>
        </w:rPr>
        <w:t>）</w:t>
      </w:r>
      <w:r w:rsidRPr="00BE595B">
        <w:rPr>
          <w:rFonts w:ascii="SimSun" w:hAnsi="SimSun"/>
          <w:sz w:val="21"/>
          <w:szCs w:val="21"/>
        </w:rPr>
        <w:t>机制。在2023年11月30日至12月12日举行的《联合国气候变化框架公约》第二十八届缔约方会议期间，OCC开始出售，资本化目标为3,200万新西兰元</w:t>
      </w:r>
      <w:r w:rsidRPr="001E4AB5">
        <w:rPr>
          <w:rFonts w:asciiTheme="minorEastAsia" w:eastAsiaTheme="minorEastAsia" w:hAnsiTheme="minorEastAsia"/>
          <w:sz w:val="21"/>
          <w:szCs w:val="21"/>
        </w:rPr>
        <w:t>（</w:t>
      </w:r>
      <w:r w:rsidRPr="00BE595B">
        <w:rPr>
          <w:rFonts w:ascii="SimSun" w:hAnsi="SimSun"/>
          <w:sz w:val="21"/>
          <w:szCs w:val="21"/>
        </w:rPr>
        <w:t>1,800万美元</w:t>
      </w:r>
      <w:r w:rsidRPr="001E4AB5">
        <w:rPr>
          <w:rFonts w:asciiTheme="minorEastAsia" w:eastAsiaTheme="minorEastAsia" w:hAnsiTheme="minorEastAsia"/>
          <w:sz w:val="21"/>
          <w:szCs w:val="21"/>
        </w:rPr>
        <w:t>）</w:t>
      </w:r>
      <w:r w:rsidRPr="00BE595B">
        <w:rPr>
          <w:rFonts w:ascii="SimSun" w:hAnsi="SimSun"/>
          <w:sz w:val="21"/>
          <w:szCs w:val="21"/>
        </w:rPr>
        <w:t>。产权组织通过制定品牌推广战略，帮助确保纽埃的海洋环境和自然资源得到长期保护。这一举措部分由韩国信托基金资助，促进实现可持续发展目标13。</w:t>
      </w:r>
    </w:p>
    <w:p w14:paraId="57E71F68"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可持续发展目标16：创建和平、包容的社会以促进可持续发展，让所有人都能诉诸司法，在各级建立有效、负责和包容的机构</w:t>
      </w:r>
    </w:p>
    <w:p w14:paraId="77864A5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b/>
          <w:sz w:val="21"/>
          <w:szCs w:val="21"/>
        </w:rPr>
        <w:t>在树立尊重知识产权的风尚方面</w:t>
      </w:r>
      <w:r w:rsidRPr="00BE595B">
        <w:rPr>
          <w:rFonts w:ascii="SimSun" w:hAnsi="SimSun"/>
          <w:sz w:val="21"/>
          <w:szCs w:val="21"/>
        </w:rPr>
        <w:t>，产权组织</w:t>
      </w:r>
      <w:r w:rsidR="008F5C37" w:rsidRPr="00BE595B">
        <w:rPr>
          <w:rFonts w:ascii="SimSun" w:hAnsi="SimSun" w:hint="eastAsia"/>
          <w:sz w:val="21"/>
          <w:szCs w:val="21"/>
        </w:rPr>
        <w:t>继续通过</w:t>
      </w:r>
      <w:hyperlink r:id="rId66" w:history="1">
        <w:r w:rsidR="008F5C37" w:rsidRPr="00BE595B">
          <w:rPr>
            <w:rStyle w:val="Hyperlink"/>
            <w:rFonts w:ascii="SimSun" w:hAnsi="SimSun"/>
            <w:sz w:val="21"/>
            <w:szCs w:val="21"/>
          </w:rPr>
          <w:t>WIPO ALERT</w:t>
        </w:r>
      </w:hyperlink>
      <w:r w:rsidR="008F5C37" w:rsidRPr="00BE595B">
        <w:rPr>
          <w:rFonts w:ascii="SimSun" w:hAnsi="SimSun" w:hint="eastAsia"/>
          <w:sz w:val="21"/>
          <w:szCs w:val="21"/>
        </w:rPr>
        <w:t>开展</w:t>
      </w:r>
      <w:r w:rsidRPr="00BE595B">
        <w:rPr>
          <w:rFonts w:ascii="SimSun" w:hAnsi="SimSun"/>
          <w:sz w:val="21"/>
          <w:szCs w:val="21"/>
        </w:rPr>
        <w:t>减少非法贸易和打击有组织犯罪</w:t>
      </w:r>
      <w:r w:rsidR="008F5C37" w:rsidRPr="00BE595B">
        <w:rPr>
          <w:rFonts w:ascii="SimSun" w:hAnsi="SimSun" w:hint="eastAsia"/>
          <w:sz w:val="21"/>
          <w:szCs w:val="21"/>
        </w:rPr>
        <w:t>的工作</w:t>
      </w:r>
      <w:r w:rsidRPr="00BE595B">
        <w:rPr>
          <w:rFonts w:ascii="SimSun" w:hAnsi="SimSun" w:hint="eastAsia"/>
          <w:sz w:val="21"/>
          <w:szCs w:val="21"/>
        </w:rPr>
        <w:t>，这是一个安全的在线平台，允许成员国的授权机构与广告业的授权用户共享有关被认定侵犯版权的网站或应用程序的信息。2023年，产权组织还向六个成员国提供了立法援助，涉及建立尊重知识产权的可持续环境和遵守《与贸易有关的知识产权协定》</w:t>
      </w:r>
      <w:r w:rsidRPr="001E4AB5">
        <w:rPr>
          <w:rFonts w:asciiTheme="minorEastAsia" w:eastAsiaTheme="minorEastAsia" w:hAnsiTheme="minorEastAsia" w:hint="eastAsia"/>
          <w:sz w:val="21"/>
          <w:szCs w:val="21"/>
        </w:rPr>
        <w:t>（</w:t>
      </w:r>
      <w:r w:rsidRPr="00BE595B">
        <w:rPr>
          <w:rFonts w:ascii="SimSun" w:hAnsi="SimSun" w:hint="eastAsia"/>
          <w:sz w:val="21"/>
          <w:szCs w:val="21"/>
        </w:rPr>
        <w:t>《TRIPS协定》</w:t>
      </w:r>
      <w:r w:rsidRPr="001E4AB5">
        <w:rPr>
          <w:rFonts w:asciiTheme="minorEastAsia" w:eastAsiaTheme="minorEastAsia" w:hAnsiTheme="minorEastAsia" w:hint="eastAsia"/>
          <w:sz w:val="21"/>
          <w:szCs w:val="21"/>
        </w:rPr>
        <w:t>）</w:t>
      </w:r>
      <w:r w:rsidRPr="00BE595B">
        <w:rPr>
          <w:rFonts w:ascii="SimSun" w:hAnsi="SimSun" w:hint="eastAsia"/>
          <w:sz w:val="21"/>
          <w:szCs w:val="21"/>
        </w:rPr>
        <w:t>第三部分规定的义务。</w:t>
      </w:r>
    </w:p>
    <w:p w14:paraId="5CB3DAE6"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产权组织组织与司法机构的合作认识到国家和区域司法系统在确保平衡有效和创新的知识产权生态系统方面所发挥的重要作用。</w:t>
      </w:r>
      <w:r w:rsidRPr="00BE595B">
        <w:rPr>
          <w:rFonts w:ascii="SimSun" w:hAnsi="SimSun"/>
          <w:b/>
          <w:sz w:val="21"/>
          <w:szCs w:val="21"/>
        </w:rPr>
        <w:t>产权组织司法研究所</w:t>
      </w:r>
      <w:r w:rsidRPr="00BE595B">
        <w:rPr>
          <w:rFonts w:ascii="SimSun" w:hAnsi="SimSun"/>
          <w:sz w:val="21"/>
          <w:szCs w:val="21"/>
        </w:rPr>
        <w:t>开展的活动旨在：i)向法官介绍各种司法方法，以加强他们在适用法律制度范围内裁决知识产权争议时的分析和决策；ii)协助建设和发展国家和地区司法机构的人力和机构能力；iii)向法官、决策者和知识产权利益攸关方提供免费在线获取世界各地知识产权法律信息的机会。</w:t>
      </w:r>
    </w:p>
    <w:p w14:paraId="3A23F839" w14:textId="64703D4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2023年，以下活动促进实现具体目标16.3和16.6：</w:t>
      </w:r>
    </w:p>
    <w:p w14:paraId="5B9ED252" w14:textId="40EBA8BB"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知识产权跨国司法对话：产权组织为法官提供了以下平台，以交流知识产权裁决方面的经验、共同关注的问题和良好做法：(i)2023年产权组织知识产权法官论坛以混合形式举行，汇集了来自101个国家和四个地区法院的360多名知识产权法官；(ii)一期</w:t>
      </w:r>
      <w:r w:rsidRPr="001E4AB5">
        <w:rPr>
          <w:rFonts w:asciiTheme="minorEastAsia" w:eastAsiaTheme="minorEastAsia" w:hAnsiTheme="minorEastAsia"/>
          <w:sz w:val="21"/>
          <w:szCs w:val="21"/>
        </w:rPr>
        <w:t>“</w:t>
      </w:r>
      <w:r w:rsidRPr="00BE595B">
        <w:rPr>
          <w:rFonts w:ascii="SimSun" w:hAnsi="SimSun"/>
          <w:sz w:val="21"/>
          <w:szCs w:val="21"/>
        </w:rPr>
        <w:t>法官网络研讨会</w:t>
      </w:r>
      <w:r w:rsidRPr="001E4AB5">
        <w:rPr>
          <w:rFonts w:asciiTheme="minorEastAsia" w:eastAsiaTheme="minorEastAsia" w:hAnsiTheme="minorEastAsia"/>
          <w:sz w:val="21"/>
          <w:szCs w:val="21"/>
        </w:rPr>
        <w:t>”</w:t>
      </w:r>
      <w:r w:rsidRPr="00BE595B">
        <w:rPr>
          <w:rFonts w:ascii="SimSun" w:hAnsi="SimSun"/>
          <w:sz w:val="21"/>
          <w:szCs w:val="21"/>
        </w:rPr>
        <w:t>系列，促进就强制许可方面的标志性案例和新发展进行交流；(iii)知识产权司法审判大师班，促进来自21个司法管辖区的31名经验丰富的专利法官就专利相关经验和判例发展进行同行司法交流。</w:t>
      </w:r>
    </w:p>
    <w:p w14:paraId="11FE1412"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知识产权司法能力建设举措：产权组织与司法和其他相关机构密切合作，提供量身定制的能力建设支持，以增加法官的知识产权知识和提高相关技能。其中包括在阿尔巴尼亚、哈萨克斯坦、菲律宾和坦桑尼亚联合共和国的国家司法教育方案，以及在非洲、波罗的海地区和葡语国家的区域和次区域司法培训。</w:t>
      </w:r>
    </w:p>
    <w:p w14:paraId="5B589E1F"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司法机构资源：</w:t>
      </w:r>
      <w:r w:rsidRPr="00BE595B">
        <w:rPr>
          <w:rFonts w:ascii="SimSun" w:hAnsi="SimSun"/>
          <w:iCs/>
          <w:sz w:val="21"/>
          <w:szCs w:val="21"/>
        </w:rPr>
        <w:t>2023年，产权组织出版了：</w:t>
      </w:r>
      <w:r w:rsidRPr="00BE595B">
        <w:rPr>
          <w:rFonts w:ascii="SimSun" w:hAnsi="SimSun"/>
          <w:sz w:val="21"/>
          <w:szCs w:val="21"/>
        </w:rPr>
        <w:t>i</w:t>
      </w:r>
      <w:r w:rsidR="008B7D33" w:rsidRPr="00BE595B">
        <w:rPr>
          <w:rFonts w:ascii="SimSun" w:hAnsi="SimSun" w:hint="eastAsia"/>
          <w:sz w:val="21"/>
          <w:szCs w:val="21"/>
        </w:rPr>
        <w:t>）</w:t>
      </w:r>
      <w:r w:rsidRPr="00BE595B">
        <w:rPr>
          <w:rFonts w:ascii="SimSun" w:hAnsi="SimSun"/>
          <w:sz w:val="21"/>
          <w:szCs w:val="21"/>
        </w:rPr>
        <w:t>《法官专利案件管理国际</w:t>
      </w:r>
      <w:hyperlink r:id="rId67" w:history="1">
        <w:r w:rsidRPr="00BE595B">
          <w:rPr>
            <w:rStyle w:val="Hyperlink"/>
            <w:rFonts w:ascii="SimSun" w:hAnsi="SimSun"/>
            <w:sz w:val="21"/>
            <w:szCs w:val="21"/>
          </w:rPr>
          <w:t>指南</w:t>
        </w:r>
      </w:hyperlink>
      <w:r w:rsidRPr="00BE595B">
        <w:rPr>
          <w:rFonts w:ascii="SimSun" w:hAnsi="SimSun"/>
          <w:sz w:val="21"/>
          <w:szCs w:val="21"/>
        </w:rPr>
        <w:t>》；ii</w:t>
      </w:r>
      <w:r w:rsidRPr="001E4AB5">
        <w:rPr>
          <w:rFonts w:asciiTheme="minorEastAsia" w:eastAsiaTheme="minorEastAsia" w:hAnsiTheme="minorEastAsia"/>
          <w:sz w:val="21"/>
          <w:szCs w:val="21"/>
        </w:rPr>
        <w:t>）</w:t>
      </w:r>
      <w:r w:rsidRPr="00BE595B">
        <w:rPr>
          <w:rFonts w:ascii="SimSun" w:hAnsi="SimSun"/>
          <w:sz w:val="21"/>
          <w:szCs w:val="21"/>
        </w:rPr>
        <w:t>《知识产权法官</w:t>
      </w:r>
      <w:hyperlink r:id="rId68" w:history="1">
        <w:r w:rsidRPr="00BE595B">
          <w:rPr>
            <w:rStyle w:val="Hyperlink"/>
            <w:rFonts w:ascii="SimSun" w:hAnsi="SimSun"/>
            <w:sz w:val="21"/>
            <w:szCs w:val="21"/>
          </w:rPr>
          <w:t>手册</w:t>
        </w:r>
      </w:hyperlink>
      <w:r w:rsidRPr="00BE595B">
        <w:rPr>
          <w:rFonts w:ascii="SimSun" w:hAnsi="SimSun"/>
          <w:sz w:val="21"/>
          <w:szCs w:val="21"/>
        </w:rPr>
        <w:t>》；iii</w:t>
      </w:r>
      <w:r w:rsidR="008B7D33" w:rsidRPr="00BE595B">
        <w:rPr>
          <w:rFonts w:ascii="SimSun" w:hAnsi="SimSun" w:hint="eastAsia"/>
          <w:sz w:val="21"/>
          <w:szCs w:val="21"/>
        </w:rPr>
        <w:t>）</w:t>
      </w:r>
      <w:r w:rsidRPr="00BE595B">
        <w:rPr>
          <w:rFonts w:ascii="SimSun" w:hAnsi="SimSun"/>
          <w:sz w:val="21"/>
          <w:szCs w:val="21"/>
        </w:rPr>
        <w:t>一卷《产权组织知识产权典型案例集》。</w:t>
      </w:r>
    </w:p>
    <w:p w14:paraId="13880534" w14:textId="77777777" w:rsidR="0027157B" w:rsidRDefault="004E4AA6"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hyperlink r:id="rId69" w:history="1">
        <w:r w:rsidR="002F0718" w:rsidRPr="00BE595B">
          <w:rPr>
            <w:rStyle w:val="Hyperlink"/>
            <w:rFonts w:ascii="SimSun" w:hAnsi="SimSun"/>
            <w:sz w:val="21"/>
            <w:szCs w:val="21"/>
          </w:rPr>
          <w:t>WIPO Lex</w:t>
        </w:r>
      </w:hyperlink>
      <w:r w:rsidR="002F0718" w:rsidRPr="00BE595B">
        <w:rPr>
          <w:rFonts w:ascii="SimSun" w:hAnsi="SimSun"/>
          <w:sz w:val="21"/>
          <w:szCs w:val="21"/>
        </w:rPr>
        <w:t>数据库提供了免费获取来自世界各地的最新知识产权法律信息的途径，包括法律法规、条约和主要司法裁决，使政策制定者能够起草适当的、非歧视性的政策，以支持生产活动、创造体面就业机会、创业、创造和创新。WIPO Lex数据库由专家策划和更新，使知识产权专业人员、立法者、法官、学生等能够轻松了解快速发展的知识产权法律及其解释。2023年，WIPO Lex数据库增加了66个国家的406项新法律。该数据库包含17,000多部法律，涵盖201个司法管辖区的国家知识产权和知识产权相关立法；以及236部知识产权条约，包括26部产权组织管理的条约。此外，WIPO Lex判决集还扩大到包括欧洲联盟、印度、蒙古、尼日利亚、新加坡和乌克兰法院的主要知识产权判决，涵盖35个司法管辖区。WIPO Lex数据库促进实现具体目标16.10以及具体目标8.3和10.3。</w:t>
      </w:r>
    </w:p>
    <w:p w14:paraId="78A69BD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w:t>
      </w:r>
      <w:r w:rsidRPr="00BE595B">
        <w:rPr>
          <w:rFonts w:ascii="SimSun" w:hAnsi="SimSun"/>
          <w:b/>
          <w:sz w:val="21"/>
          <w:szCs w:val="21"/>
        </w:rPr>
        <w:t>仲裁与调解中心</w:t>
      </w:r>
      <w:r w:rsidRPr="00BE595B">
        <w:rPr>
          <w:rFonts w:ascii="SimSun" w:hAnsi="SimSun"/>
          <w:sz w:val="21"/>
          <w:szCs w:val="21"/>
        </w:rPr>
        <w:t>继续降低知识产权利益攸关方，特别是中小企业和企业家获得其替代性争议解决备选方案的障碍，从而促进实现具体目标16.3。</w:t>
      </w:r>
    </w:p>
    <w:p w14:paraId="2173B6E4"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合作促进发展</w:t>
      </w:r>
      <w:r w:rsidRPr="00BE595B">
        <w:rPr>
          <w:rFonts w:ascii="SimSun" w:hAnsi="SimSun"/>
          <w:sz w:val="21"/>
          <w:szCs w:val="21"/>
        </w:rPr>
        <w:t>领域，产权组织与卡塔尔工商部合作，于2023年11月14日举办了知识产权和技术争端仲裁与调解网络研讨会，旨在提高对知识产权和技术争端仲裁与调解重要性以及产权组织仲裁与调解中心作用的认识，并在卡塔尔利益攸关方之间交流这一领域的最佳做法。50名卡塔尔参与者参加了网络研讨会，促进实现具体目标16.3。</w:t>
      </w:r>
    </w:p>
    <w:p w14:paraId="6E72C9AA" w14:textId="2BB4E2E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支持和发展成员国有效的仲裁与调解服务有助于为所有人提供诉诸司法的机会，并建立有效的执法机构。在转型和发达国家，以下活动继续促进实现具体目标16.3和16.6：</w:t>
      </w:r>
    </w:p>
    <w:p w14:paraId="1A87020D" w14:textId="55719102"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2023年7月，与土耳其专利商标局签署了一项关于替代争端解决</w:t>
      </w:r>
      <w:r w:rsidRPr="001E4AB5">
        <w:rPr>
          <w:rFonts w:asciiTheme="minorEastAsia" w:eastAsiaTheme="minorEastAsia" w:hAnsiTheme="minorEastAsia"/>
          <w:sz w:val="21"/>
          <w:szCs w:val="21"/>
        </w:rPr>
        <w:t>（</w:t>
      </w:r>
      <w:r w:rsidRPr="00BE595B">
        <w:rPr>
          <w:rFonts w:ascii="SimSun" w:hAnsi="SimSun"/>
          <w:sz w:val="21"/>
          <w:szCs w:val="21"/>
        </w:rPr>
        <w:t>ADR</w:t>
      </w:r>
      <w:r w:rsidRPr="001E4AB5">
        <w:rPr>
          <w:rFonts w:asciiTheme="minorEastAsia" w:eastAsiaTheme="minorEastAsia" w:hAnsiTheme="minorEastAsia"/>
          <w:sz w:val="21"/>
          <w:szCs w:val="21"/>
        </w:rPr>
        <w:t>）</w:t>
      </w:r>
      <w:r w:rsidRPr="00BE595B">
        <w:rPr>
          <w:rFonts w:ascii="SimSun" w:hAnsi="SimSun"/>
          <w:sz w:val="21"/>
          <w:szCs w:val="21"/>
        </w:rPr>
        <w:t>的谅解备忘录。</w:t>
      </w:r>
    </w:p>
    <w:p w14:paraId="1A03FC06"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2023年7月，与阿尔巴尼亚共和国工业产权总局和治安法官学校签署了一项关于加强知识产权保护司法系统和服务的谅解备忘录。</w:t>
      </w:r>
    </w:p>
    <w:p w14:paraId="54F3DB79"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2023年9月20</w:t>
      </w:r>
      <w:r w:rsidRPr="00B83704">
        <w:rPr>
          <w:rFonts w:ascii="SimSun" w:hAnsi="SimSun"/>
          <w:sz w:val="21"/>
          <w:szCs w:val="21"/>
        </w:rPr>
        <w:t>日</w:t>
      </w:r>
      <w:r w:rsidRPr="00BE595B">
        <w:rPr>
          <w:rFonts w:ascii="SimSun" w:hAnsi="SimSun"/>
          <w:sz w:val="21"/>
          <w:szCs w:val="21"/>
        </w:rPr>
        <w:t>，与波兰签署了一项关于继续开展司法教育计划的谅解备忘录。</w:t>
      </w:r>
    </w:p>
    <w:p w14:paraId="2E78B56E"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2023年2月28日举办了知识产权侵权损害赔偿计算地区网络研讨会，通过分享欧洲不同国家的相关经验，加深了CEBS地区与会者对知识产权侵权损害赔偿计算的了解。</w:t>
      </w:r>
    </w:p>
    <w:p w14:paraId="74C4690C"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2023年3月23日，产权组织与格鲁吉亚知识产权中心和调解员协会合作举办了知识产权和技术争议调解网络研讨会。</w:t>
      </w:r>
    </w:p>
    <w:p w14:paraId="2707A456" w14:textId="5C5B8190"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9月12至13日在拉脱维亚的利耶帕亚举办了关于知识产权当前问题的地区法官研讨会，向波罗的海地区的法官介绍了知识产权领域的最新发展，促进知识产权相关司法经验和判例发展的交流，并协助建立了知识产权法官网络。</w:t>
      </w:r>
    </w:p>
    <w:p w14:paraId="68779C39"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产权组织支持并参加了2023年5月30日在斯洛伐克萨莫林举行的中小企业调解国际会议。</w:t>
      </w:r>
    </w:p>
    <w:p w14:paraId="5BCB235E" w14:textId="77777777" w:rsidR="0027157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2023年9月6日至7日，在地拉那举办了商标可注册性司法审查和判决书撰写讲习班，为阿尔巴尼亚法官和知识产权局上诉委员会成员提供了有效的判决书撰写工具。</w:t>
      </w:r>
    </w:p>
    <w:p w14:paraId="03C8FAA7" w14:textId="4FB131AA" w:rsidR="002A674D" w:rsidRPr="00BE595B" w:rsidRDefault="002F0718" w:rsidP="00433470">
      <w:pPr>
        <w:pStyle w:val="ListParagraph"/>
        <w:numPr>
          <w:ilvl w:val="0"/>
          <w:numId w:val="12"/>
        </w:numPr>
        <w:overflowPunct w:val="0"/>
        <w:spacing w:afterLines="50" w:after="120" w:line="340" w:lineRule="atLeast"/>
        <w:ind w:left="924" w:hanging="357"/>
        <w:contextualSpacing w:val="0"/>
        <w:jc w:val="both"/>
        <w:rPr>
          <w:rFonts w:ascii="SimSun" w:hAnsi="SimSun"/>
          <w:sz w:val="21"/>
          <w:szCs w:val="21"/>
        </w:rPr>
      </w:pPr>
      <w:r w:rsidRPr="00BE595B">
        <w:rPr>
          <w:rFonts w:ascii="SimSun" w:hAnsi="SimSun"/>
          <w:sz w:val="21"/>
          <w:szCs w:val="21"/>
        </w:rPr>
        <w:t>2023年11月7日至8日，在波斯尼亚萨拉热窝举办了知识产权执法国家讲习班，以培养波斯尼亚和黑塞哥维那检察官和执法官员处理知识产权侵权行为的能力，并促进使用定制的产权组织培训手册，以及鼓励公共和私营部门的利益攸关方之间的战略合作。</w:t>
      </w:r>
    </w:p>
    <w:p w14:paraId="1EB667F6" w14:textId="77777777" w:rsidR="0027157B" w:rsidRDefault="002F0718" w:rsidP="00EA5ACD">
      <w:pPr>
        <w:pStyle w:val="Heading2rev"/>
        <w:overflowPunct w:val="0"/>
        <w:spacing w:afterLines="50" w:after="120" w:line="340" w:lineRule="atLeast"/>
        <w:jc w:val="both"/>
        <w:rPr>
          <w:rFonts w:ascii="KaiTi" w:eastAsia="KaiTi" w:hAnsi="KaiTi"/>
          <w:i w:val="0"/>
          <w:iCs w:val="0"/>
          <w:sz w:val="21"/>
          <w:szCs w:val="21"/>
        </w:rPr>
      </w:pPr>
      <w:r w:rsidRPr="001E4AB5">
        <w:rPr>
          <w:rFonts w:ascii="KaiTi" w:eastAsia="KaiTi" w:hAnsi="KaiTi"/>
          <w:i w:val="0"/>
          <w:iCs w:val="0"/>
          <w:sz w:val="21"/>
          <w:szCs w:val="21"/>
        </w:rPr>
        <w:t>可持续发展目标17：加强执行手段，重振可持续发展全球伙伴关系</w:t>
      </w:r>
    </w:p>
    <w:p w14:paraId="78269B42"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南南合作和三方合作</w:t>
      </w:r>
      <w:r w:rsidRPr="00BE595B">
        <w:rPr>
          <w:rFonts w:ascii="SimSun" w:hAnsi="SimSun"/>
          <w:sz w:val="21"/>
          <w:szCs w:val="21"/>
        </w:rPr>
        <w:t>领域，产权组织一直致力于创建一个平台，用于交流信息和专业知识，特别是在发展中国家和最不发达国家之间进行交流。2023年5月16日，第二届促进知识产权和创新领域南南合作和三方合作圆桌会议于以混合形式举行，重点是交流经验和确定未来举措的优先专题领域。在2022年10月14日举行的第一次圆桌会议的基础上，120名与会者讨论了交付以发展为导向的项目的最佳做法，以及南南合作和三方合作在实现可持续发展目标方面的重要性。确定的优先专题领域是绿色创新和技术转让、农业创新、知识产权和数字化、知识产权管理和创意经济。产权组织在这一领域的工作促进实现目标具体17.6。</w:t>
      </w:r>
    </w:p>
    <w:p w14:paraId="52A24CF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关于</w:t>
      </w:r>
      <w:r w:rsidRPr="001E4AB5">
        <w:rPr>
          <w:rFonts w:asciiTheme="minorEastAsia" w:eastAsiaTheme="minorEastAsia" w:hAnsiTheme="minorEastAsia"/>
          <w:sz w:val="21"/>
          <w:szCs w:val="21"/>
        </w:rPr>
        <w:t>“</w:t>
      </w:r>
      <w:r w:rsidRPr="00BE595B">
        <w:rPr>
          <w:rFonts w:ascii="SimSun" w:hAnsi="SimSun"/>
          <w:sz w:val="21"/>
          <w:szCs w:val="21"/>
        </w:rPr>
        <w:t>成功的发展议程项目提案用工具</w:t>
      </w:r>
      <w:r w:rsidRPr="001E4AB5">
        <w:rPr>
          <w:rFonts w:asciiTheme="minorEastAsia" w:eastAsiaTheme="minorEastAsia" w:hAnsiTheme="minorEastAsia"/>
          <w:sz w:val="21"/>
          <w:szCs w:val="21"/>
        </w:rPr>
        <w:t>”</w:t>
      </w:r>
      <w:r w:rsidRPr="00BE595B">
        <w:rPr>
          <w:rFonts w:ascii="SimSun" w:hAnsi="SimSun"/>
          <w:sz w:val="21"/>
          <w:szCs w:val="21"/>
        </w:rPr>
        <w:t>的项目于2022年完成，取得了以下产出，这些产出已纳入产权组织的常规工作：</w:t>
      </w:r>
      <w:r w:rsidR="00535230" w:rsidRPr="00BE595B">
        <w:rPr>
          <w:rFonts w:ascii="SimSun" w:hAnsi="SimSun" w:hint="eastAsia"/>
          <w:sz w:val="21"/>
          <w:szCs w:val="21"/>
        </w:rPr>
        <w:t>（</w:t>
      </w:r>
      <w:r w:rsidRPr="00BE595B">
        <w:rPr>
          <w:rFonts w:ascii="SimSun" w:hAnsi="SimSun"/>
          <w:sz w:val="21"/>
          <w:szCs w:val="21"/>
        </w:rPr>
        <w:t>i</w:t>
      </w:r>
      <w:r w:rsidR="00535230" w:rsidRPr="00BE595B">
        <w:rPr>
          <w:rFonts w:ascii="SimSun" w:hAnsi="SimSun" w:hint="eastAsia"/>
          <w:sz w:val="21"/>
          <w:szCs w:val="21"/>
        </w:rPr>
        <w:t>）</w:t>
      </w:r>
      <w:r w:rsidRPr="00BE595B">
        <w:rPr>
          <w:rFonts w:ascii="SimSun" w:hAnsi="SimSun"/>
          <w:sz w:val="21"/>
          <w:szCs w:val="21"/>
        </w:rPr>
        <w:t>发展议程项目的筹备、实施和评价指南；</w:t>
      </w:r>
      <w:r w:rsidR="00535230" w:rsidRPr="00BE595B">
        <w:rPr>
          <w:rFonts w:ascii="SimSun" w:hAnsi="SimSun" w:hint="eastAsia"/>
          <w:sz w:val="21"/>
          <w:szCs w:val="21"/>
        </w:rPr>
        <w:t>（</w:t>
      </w:r>
      <w:r w:rsidRPr="00BE595B">
        <w:rPr>
          <w:rFonts w:ascii="SimSun" w:hAnsi="SimSun"/>
          <w:sz w:val="21"/>
          <w:szCs w:val="21"/>
        </w:rPr>
        <w:t>ii</w:t>
      </w:r>
      <w:r w:rsidR="00535230" w:rsidRPr="00BE595B">
        <w:rPr>
          <w:rFonts w:ascii="SimSun" w:hAnsi="SimSun" w:hint="eastAsia"/>
          <w:sz w:val="21"/>
          <w:szCs w:val="21"/>
        </w:rPr>
        <w:t>）</w:t>
      </w:r>
      <w:r w:rsidRPr="00BE595B">
        <w:rPr>
          <w:rFonts w:ascii="SimSun" w:hAnsi="SimSun"/>
          <w:sz w:val="21"/>
          <w:szCs w:val="21"/>
        </w:rPr>
        <w:t>关于发展议程项目和产出的可搜索在线目录；</w:t>
      </w:r>
      <w:r w:rsidR="00535230" w:rsidRPr="00BE595B">
        <w:rPr>
          <w:rFonts w:ascii="SimSun" w:hAnsi="SimSun" w:hint="eastAsia"/>
          <w:sz w:val="21"/>
          <w:szCs w:val="21"/>
        </w:rPr>
        <w:t>（</w:t>
      </w:r>
      <w:r w:rsidRPr="00BE595B">
        <w:rPr>
          <w:rFonts w:ascii="SimSun" w:hAnsi="SimSun"/>
          <w:sz w:val="21"/>
          <w:szCs w:val="21"/>
        </w:rPr>
        <w:t>iii</w:t>
      </w:r>
      <w:r w:rsidR="00535230" w:rsidRPr="00BE595B">
        <w:rPr>
          <w:rFonts w:ascii="SimSun" w:hAnsi="SimSun" w:hint="eastAsia"/>
          <w:sz w:val="21"/>
          <w:szCs w:val="21"/>
        </w:rPr>
        <w:t>）</w:t>
      </w:r>
      <w:r w:rsidRPr="00BE595B">
        <w:rPr>
          <w:rFonts w:ascii="SimSun" w:hAnsi="SimSun"/>
          <w:sz w:val="21"/>
          <w:szCs w:val="21"/>
        </w:rPr>
        <w:t>关于发展议程项目管理的远程学习课程，2023年惠及约114位参加者；</w:t>
      </w:r>
      <w:r w:rsidR="00535230" w:rsidRPr="00BE595B">
        <w:rPr>
          <w:rFonts w:ascii="SimSun" w:hAnsi="SimSun" w:hint="eastAsia"/>
          <w:sz w:val="21"/>
          <w:szCs w:val="21"/>
        </w:rPr>
        <w:t>（</w:t>
      </w:r>
      <w:r w:rsidRPr="00BE595B">
        <w:rPr>
          <w:rFonts w:ascii="SimSun" w:hAnsi="SimSun"/>
          <w:sz w:val="21"/>
          <w:szCs w:val="21"/>
        </w:rPr>
        <w:t>iv</w:t>
      </w:r>
      <w:r w:rsidR="00535230" w:rsidRPr="00BE595B">
        <w:rPr>
          <w:rFonts w:ascii="SimSun" w:hAnsi="SimSun" w:hint="eastAsia"/>
          <w:sz w:val="21"/>
          <w:szCs w:val="21"/>
        </w:rPr>
        <w:t>）</w:t>
      </w:r>
      <w:r w:rsidRPr="00BE595B">
        <w:rPr>
          <w:rFonts w:ascii="SimSun" w:hAnsi="SimSun"/>
          <w:sz w:val="21"/>
          <w:szCs w:val="21"/>
        </w:rPr>
        <w:t>为成员国和其他相关利益攸关方提供定制的项目开发和实施培训，包括一些信息丰富的视频和信息图。这一新的发展议程项目方法促进实现具体目标17.9。</w:t>
      </w:r>
    </w:p>
    <w:p w14:paraId="5C32DCED"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全球挑战和伙伴关系</w:t>
      </w:r>
      <w:r w:rsidRPr="00BE595B">
        <w:rPr>
          <w:rFonts w:ascii="SimSun" w:hAnsi="SimSun"/>
          <w:sz w:val="21"/>
          <w:szCs w:val="21"/>
        </w:rPr>
        <w:t>领域，</w:t>
      </w:r>
      <w:hyperlink r:id="rId70" w:history="1">
        <w:r w:rsidRPr="00BE595B">
          <w:rPr>
            <w:rStyle w:val="Hyperlink"/>
            <w:rFonts w:ascii="SimSun" w:hAnsi="SimSun"/>
            <w:sz w:val="21"/>
            <w:szCs w:val="21"/>
          </w:rPr>
          <w:t>WIPO GREEN</w:t>
        </w:r>
      </w:hyperlink>
      <w:r w:rsidRPr="00BE595B">
        <w:rPr>
          <w:rFonts w:ascii="SimSun" w:hAnsi="SimSun"/>
          <w:sz w:val="21"/>
          <w:szCs w:val="21"/>
        </w:rPr>
        <w:t>汇集了关键参与者，通过其数据库、网络和加速项目促进绿色技术创新和传播，从而为实现具体目标17.7做出切实的贡献。WIPO GREEN合作伙伴网络包含全球150多个致力于应对全球气候变化和环境挑战的组织，加速项目为与知识产权局、相关部委和当地行为体合作以实地应对这些挑战提供了另一种方式。</w:t>
      </w:r>
    </w:p>
    <w:p w14:paraId="4115E964" w14:textId="77777777" w:rsidR="0027157B" w:rsidRDefault="004E4AA6"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hyperlink r:id="rId71" w:history="1">
        <w:r w:rsidR="002F0718" w:rsidRPr="00BE595B">
          <w:rPr>
            <w:rStyle w:val="Hyperlink"/>
            <w:rFonts w:ascii="SimSun" w:hAnsi="SimSun"/>
            <w:sz w:val="21"/>
            <w:szCs w:val="21"/>
          </w:rPr>
          <w:t>世卫组织、产权组织、世贸组织在公共卫生、知识产权和贸易方面的三方合作</w:t>
        </w:r>
      </w:hyperlink>
      <w:r w:rsidR="002F0718" w:rsidRPr="00BE595B">
        <w:rPr>
          <w:rFonts w:ascii="SimSun" w:hAnsi="SimSun"/>
          <w:sz w:val="21"/>
          <w:szCs w:val="21"/>
        </w:rPr>
        <w:t>继续促进实现具体目标17.9和17.14。2023年6月27日，举办了以从业人员视角看技术转让的联合</w:t>
      </w:r>
      <w:hyperlink r:id="rId72" w:history="1">
        <w:r w:rsidR="002F0718" w:rsidRPr="00BE595B">
          <w:rPr>
            <w:rStyle w:val="Hyperlink"/>
            <w:rFonts w:ascii="SimSun" w:hAnsi="SimSun"/>
            <w:sz w:val="21"/>
            <w:szCs w:val="21"/>
          </w:rPr>
          <w:t>网络研讨会</w:t>
        </w:r>
      </w:hyperlink>
      <w:r w:rsidR="002F0718" w:rsidRPr="00BE595B">
        <w:rPr>
          <w:rFonts w:ascii="SimSun" w:hAnsi="SimSun"/>
          <w:sz w:val="21"/>
          <w:szCs w:val="21"/>
        </w:rPr>
        <w:t>，以加强政策制定者和专家的能力，实现公平获取COVID-19卫生技术，并为未来的大流行做好更充分的准备。该活动是在现有合作框架内组织的三方讲习班系列中的第四期。</w:t>
      </w:r>
    </w:p>
    <w:p w14:paraId="326C8678"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2023年12月10日至14日在科威特举办了一次区域贸易和公共卫生</w:t>
      </w:r>
      <w:hyperlink r:id="rId73" w:history="1">
        <w:r w:rsidRPr="00BE595B">
          <w:rPr>
            <w:rStyle w:val="Hyperlink"/>
            <w:rFonts w:ascii="SimSun" w:hAnsi="SimSun"/>
            <w:sz w:val="21"/>
            <w:szCs w:val="21"/>
          </w:rPr>
          <w:t>讲习班</w:t>
        </w:r>
      </w:hyperlink>
      <w:r w:rsidRPr="00BE595B">
        <w:rPr>
          <w:rFonts w:ascii="SimSun" w:hAnsi="SimSun"/>
          <w:sz w:val="21"/>
          <w:szCs w:val="21"/>
        </w:rPr>
        <w:t>，该讲习班是与世贸组织和世卫组织密切合作组织，由国际货币基金组织中东经济和金融中心</w:t>
      </w:r>
      <w:r w:rsidRPr="008B7D33">
        <w:rPr>
          <w:rFonts w:asciiTheme="minorEastAsia" w:eastAsiaTheme="minorEastAsia" w:hAnsiTheme="minorEastAsia"/>
          <w:sz w:val="21"/>
          <w:szCs w:val="21"/>
        </w:rPr>
        <w:t>（</w:t>
      </w:r>
      <w:r w:rsidRPr="00BE595B">
        <w:rPr>
          <w:rFonts w:ascii="SimSun" w:hAnsi="SimSun"/>
          <w:sz w:val="21"/>
          <w:szCs w:val="21"/>
        </w:rPr>
        <w:t>IMF-CEF</w:t>
      </w:r>
      <w:r w:rsidRPr="008B7D33">
        <w:rPr>
          <w:rFonts w:asciiTheme="minorEastAsia" w:eastAsiaTheme="minorEastAsia" w:hAnsiTheme="minorEastAsia"/>
          <w:sz w:val="21"/>
          <w:szCs w:val="21"/>
        </w:rPr>
        <w:t>）</w:t>
      </w:r>
      <w:r w:rsidRPr="00BE595B">
        <w:rPr>
          <w:rFonts w:ascii="SimSun" w:hAnsi="SimSun"/>
          <w:sz w:val="21"/>
          <w:szCs w:val="21"/>
        </w:rPr>
        <w:t>主办的。该讲习班提供了关于公共卫生、知识产权和贸易交叉问题的跨学科培训，并为阿拉伯和中东成员国的政府代表提供了一个论坛，以分享各国和地区解决COVID-19大流行相关问题的经验、政策、做法和方法。</w:t>
      </w:r>
    </w:p>
    <w:p w14:paraId="379C675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u w:val="single"/>
        </w:rPr>
        <w:t>WIPO Lex</w:t>
      </w:r>
      <w:r w:rsidRPr="00BE595B">
        <w:rPr>
          <w:rFonts w:ascii="SimSun" w:hAnsi="SimSun"/>
          <w:sz w:val="21"/>
          <w:szCs w:val="21"/>
        </w:rPr>
        <w:t>数据库通过实施《世界知识产权组织与世界贸易组织之间的</w:t>
      </w:r>
      <w:hyperlink r:id="rId74" w:history="1">
        <w:r w:rsidRPr="00BE595B">
          <w:rPr>
            <w:rStyle w:val="Hyperlink"/>
            <w:rFonts w:ascii="SimSun" w:hAnsi="SimSun"/>
            <w:sz w:val="21"/>
            <w:szCs w:val="21"/>
          </w:rPr>
          <w:t>协定</w:t>
        </w:r>
      </w:hyperlink>
      <w:r w:rsidRPr="00BE595B">
        <w:rPr>
          <w:rFonts w:ascii="SimSun" w:hAnsi="SimSun"/>
          <w:sz w:val="21"/>
          <w:szCs w:val="21"/>
        </w:rPr>
        <w:t>》第2条，持续促进实现具体目标17.10。该数据库公开提供成员国根据其条约义务提交的法律，以协助管理世贸组织下的多边贸易体系。</w:t>
      </w:r>
    </w:p>
    <w:p w14:paraId="19FE48A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2023年7月，在产权组织第六十四届成员国大会期间举行了年度产权组织-非政府组织利益攸关方</w:t>
      </w:r>
      <w:hyperlink r:id="rId75" w:history="1">
        <w:r w:rsidRPr="00BE595B">
          <w:rPr>
            <w:rStyle w:val="Hyperlink"/>
            <w:rFonts w:ascii="SimSun" w:hAnsi="SimSun"/>
            <w:sz w:val="21"/>
            <w:szCs w:val="21"/>
          </w:rPr>
          <w:t>对话</w:t>
        </w:r>
      </w:hyperlink>
      <w:r w:rsidRPr="00BE595B">
        <w:rPr>
          <w:rFonts w:ascii="SimSun" w:hAnsi="SimSun"/>
          <w:sz w:val="21"/>
          <w:szCs w:val="21"/>
        </w:rPr>
        <w:t>，从而促进实现具体目标17.17。来自世界各地的50多名经认可的非政府组织代表出席了此次活动，活动强调了非政府组织作为关键合作伙伴在建立更具包容性的全球知识产权生态系统方面的重要作用。</w:t>
      </w:r>
    </w:p>
    <w:p w14:paraId="02368505"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产权组织与大学科技经理人协会</w:t>
      </w:r>
      <w:r w:rsidRPr="001E4AB5">
        <w:rPr>
          <w:rFonts w:asciiTheme="minorEastAsia" w:eastAsiaTheme="minorEastAsia" w:hAnsiTheme="minorEastAsia"/>
          <w:sz w:val="21"/>
          <w:szCs w:val="21"/>
        </w:rPr>
        <w:t>（</w:t>
      </w:r>
      <w:r w:rsidRPr="00BE595B">
        <w:rPr>
          <w:rFonts w:ascii="SimSun" w:hAnsi="SimSun"/>
          <w:sz w:val="21"/>
          <w:szCs w:val="21"/>
        </w:rPr>
        <w:t>AUTM</w:t>
      </w:r>
      <w:r w:rsidRPr="001E4AB5">
        <w:rPr>
          <w:rFonts w:asciiTheme="minorEastAsia" w:eastAsiaTheme="minorEastAsia" w:hAnsiTheme="minorEastAsia"/>
          <w:sz w:val="21"/>
          <w:szCs w:val="21"/>
        </w:rPr>
        <w:t>）</w:t>
      </w:r>
      <w:r w:rsidRPr="00BE595B">
        <w:rPr>
          <w:rFonts w:ascii="SimSun" w:hAnsi="SimSun"/>
          <w:sz w:val="21"/>
          <w:szCs w:val="21"/>
        </w:rPr>
        <w:t>一起，于2023年11月6日至7日在智利圣地亚哥举办了2023年国际知识/技术转让领袖峰会。在此次峰会上，来自世界各地协会的知识和技术转让</w:t>
      </w:r>
      <w:r w:rsidRPr="001E4AB5">
        <w:rPr>
          <w:rFonts w:asciiTheme="minorEastAsia" w:eastAsiaTheme="minorEastAsia" w:hAnsiTheme="minorEastAsia"/>
          <w:sz w:val="21"/>
          <w:szCs w:val="21"/>
        </w:rPr>
        <w:t>（</w:t>
      </w:r>
      <w:r w:rsidRPr="00BE595B">
        <w:rPr>
          <w:rFonts w:ascii="SimSun" w:hAnsi="SimSun"/>
          <w:sz w:val="21"/>
          <w:szCs w:val="21"/>
        </w:rPr>
        <w:t>K/TT</w:t>
      </w:r>
      <w:r w:rsidRPr="001E4AB5">
        <w:rPr>
          <w:rFonts w:asciiTheme="minorEastAsia" w:eastAsiaTheme="minorEastAsia" w:hAnsiTheme="minorEastAsia"/>
          <w:sz w:val="21"/>
          <w:szCs w:val="21"/>
        </w:rPr>
        <w:t>）</w:t>
      </w:r>
      <w:r w:rsidRPr="00BE595B">
        <w:rPr>
          <w:rFonts w:ascii="SimSun" w:hAnsi="SimSun"/>
          <w:sz w:val="21"/>
          <w:szCs w:val="21"/>
        </w:rPr>
        <w:t>领袖进行了讨论，以进一步制定和解决与K/TT领域相关的要求、挑战和潜在解决方案。产权组织还在2023年6月于法国举行的居里研究所年度会议上介绍了其技术转让举措。这些活动促进实现具体目标17.7。</w:t>
      </w:r>
    </w:p>
    <w:p w14:paraId="257109E8"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产权组织在</w:t>
      </w:r>
      <w:r w:rsidRPr="00BE595B">
        <w:rPr>
          <w:rFonts w:ascii="SimSun" w:hAnsi="SimSun"/>
          <w:b/>
          <w:sz w:val="21"/>
          <w:szCs w:val="21"/>
        </w:rPr>
        <w:t>知识产权与创新方面</w:t>
      </w:r>
      <w:r w:rsidRPr="00BE595B">
        <w:rPr>
          <w:rFonts w:ascii="SimSun" w:hAnsi="SimSun"/>
          <w:sz w:val="21"/>
          <w:szCs w:val="21"/>
        </w:rPr>
        <w:t>的工作通过其现有的伙伴关系促进实现具体目标17.6。</w:t>
      </w:r>
      <w:r w:rsidRPr="001E4AB5">
        <w:rPr>
          <w:rFonts w:asciiTheme="minorEastAsia" w:eastAsiaTheme="minorEastAsia" w:hAnsiTheme="minorEastAsia"/>
          <w:sz w:val="21"/>
          <w:szCs w:val="21"/>
        </w:rPr>
        <w:t>“</w:t>
      </w:r>
      <w:r w:rsidRPr="00BE595B">
        <w:rPr>
          <w:rFonts w:ascii="SimSun" w:hAnsi="SimSun"/>
          <w:sz w:val="21"/>
          <w:szCs w:val="21"/>
        </w:rPr>
        <w:t>获得研究成果促进发展创新</w:t>
      </w:r>
      <w:r w:rsidRPr="001E4AB5">
        <w:rPr>
          <w:rFonts w:asciiTheme="minorEastAsia" w:eastAsiaTheme="minorEastAsia" w:hAnsiTheme="minorEastAsia"/>
          <w:sz w:val="21"/>
          <w:szCs w:val="21"/>
        </w:rPr>
        <w:t>”（</w:t>
      </w:r>
      <w:r w:rsidRPr="00BE595B">
        <w:rPr>
          <w:rFonts w:ascii="SimSun" w:hAnsi="SimSun"/>
          <w:sz w:val="21"/>
          <w:szCs w:val="21"/>
        </w:rPr>
        <w:t>ARDI</w:t>
      </w:r>
      <w:r w:rsidRPr="001E4AB5">
        <w:rPr>
          <w:rFonts w:asciiTheme="minorEastAsia" w:eastAsiaTheme="minorEastAsia" w:hAnsiTheme="minorEastAsia"/>
          <w:sz w:val="21"/>
          <w:szCs w:val="21"/>
        </w:rPr>
        <w:t>）</w:t>
      </w:r>
      <w:r w:rsidRPr="00BE595B">
        <w:rPr>
          <w:rFonts w:ascii="SimSun" w:hAnsi="SimSun"/>
          <w:sz w:val="21"/>
          <w:szCs w:val="21"/>
        </w:rPr>
        <w:t>伙伴关系旨在提高发展中国家科技信息的可得性。ARDI提供了55,000份基于订阅获取的科技期刊、书籍和参考著作，这些期刊、书籍和参考著作来自于110多家出版商的可用内容。专业化专利信息查询</w:t>
      </w:r>
      <w:r w:rsidRPr="001E4AB5">
        <w:rPr>
          <w:rFonts w:asciiTheme="minorEastAsia" w:eastAsiaTheme="minorEastAsia" w:hAnsiTheme="minorEastAsia"/>
          <w:sz w:val="21"/>
          <w:szCs w:val="21"/>
        </w:rPr>
        <w:t>（</w:t>
      </w:r>
      <w:r w:rsidRPr="00BE595B">
        <w:rPr>
          <w:rFonts w:ascii="SimSun" w:hAnsi="SimSun"/>
          <w:sz w:val="21"/>
          <w:szCs w:val="21"/>
        </w:rPr>
        <w:t>ASPI</w:t>
      </w:r>
      <w:r w:rsidRPr="001E4AB5">
        <w:rPr>
          <w:rFonts w:asciiTheme="minorEastAsia" w:eastAsiaTheme="minorEastAsia" w:hAnsiTheme="minorEastAsia"/>
          <w:sz w:val="21"/>
          <w:szCs w:val="21"/>
        </w:rPr>
        <w:t>）</w:t>
      </w:r>
      <w:r w:rsidRPr="00BE595B">
        <w:rPr>
          <w:rFonts w:ascii="SimSun" w:hAnsi="SimSun"/>
          <w:sz w:val="21"/>
          <w:szCs w:val="21"/>
        </w:rPr>
        <w:t>计划是产权组织管理的另一个公私合作伙伴关系，通过与主要专利信息提供商的合作得以实现，允许符合条件的发展中国家和领土免费或以低成本获取用于检索和分析专利数据的复杂工具和服务，并拥有80多个活跃的机构用户。</w:t>
      </w:r>
    </w:p>
    <w:p w14:paraId="19B2FCE8"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波罗的海国家的技术转让网络继续为进一步发展技术转让专业人力资源创造条件。该网络包括该区域的知识产权商业化专业人员库。2022年10月28日，与该网络签署了谅解备忘录。由于产权组织承诺根据谅解备忘录提供能力建设和技术援助，2023年制定了旨在促进衍生公司发展的波罗的海国家TTO网络指导计划，该计划将于2024年启动。</w:t>
      </w:r>
    </w:p>
    <w:p w14:paraId="60B0CC97" w14:textId="00D4D272"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合作促进发展</w:t>
      </w:r>
      <w:r w:rsidRPr="00BE595B">
        <w:rPr>
          <w:rFonts w:ascii="SimSun" w:hAnsi="SimSun"/>
          <w:sz w:val="21"/>
          <w:szCs w:val="21"/>
        </w:rPr>
        <w:t>领域，</w:t>
      </w:r>
      <w:r w:rsidRPr="00BE595B">
        <w:rPr>
          <w:rFonts w:ascii="SimSun" w:hAnsi="SimSun"/>
          <w:b/>
          <w:sz w:val="21"/>
          <w:szCs w:val="21"/>
        </w:rPr>
        <w:t>WIPO学院</w:t>
      </w:r>
      <w:r w:rsidRPr="00BE595B">
        <w:rPr>
          <w:rFonts w:ascii="SimSun" w:hAnsi="SimSun"/>
          <w:sz w:val="21"/>
          <w:szCs w:val="21"/>
        </w:rPr>
        <w:t>的远程学习计划继续作为</w:t>
      </w:r>
      <w:r w:rsidRPr="001E4AB5">
        <w:rPr>
          <w:rFonts w:asciiTheme="minorEastAsia" w:eastAsiaTheme="minorEastAsia" w:hAnsiTheme="minorEastAsia"/>
          <w:sz w:val="21"/>
          <w:szCs w:val="21"/>
        </w:rPr>
        <w:t>“</w:t>
      </w:r>
      <w:r w:rsidRPr="00BE595B">
        <w:rPr>
          <w:rFonts w:ascii="SimSun" w:hAnsi="SimSun"/>
          <w:sz w:val="21"/>
          <w:szCs w:val="21"/>
        </w:rPr>
        <w:t>联合国可持续发展集团</w:t>
      </w:r>
      <w:r w:rsidRPr="001E4AB5">
        <w:rPr>
          <w:rFonts w:asciiTheme="minorEastAsia" w:eastAsiaTheme="minorEastAsia" w:hAnsiTheme="minorEastAsia"/>
          <w:sz w:val="21"/>
          <w:szCs w:val="21"/>
        </w:rPr>
        <w:t>（</w:t>
      </w:r>
      <w:r w:rsidRPr="00BE595B">
        <w:rPr>
          <w:rFonts w:ascii="SimSun" w:hAnsi="SimSun"/>
          <w:sz w:val="21"/>
          <w:szCs w:val="21"/>
        </w:rPr>
        <w:t>UNSDG</w:t>
      </w:r>
      <w:r w:rsidRPr="001E4AB5">
        <w:rPr>
          <w:rFonts w:asciiTheme="minorEastAsia" w:eastAsiaTheme="minorEastAsia" w:hAnsiTheme="minorEastAsia"/>
          <w:sz w:val="21"/>
          <w:szCs w:val="21"/>
        </w:rPr>
        <w:t>）</w:t>
      </w:r>
      <w:r w:rsidRPr="00BE595B">
        <w:rPr>
          <w:rFonts w:ascii="SimSun" w:hAnsi="SimSun"/>
          <w:sz w:val="21"/>
          <w:szCs w:val="21"/>
        </w:rPr>
        <w:t>：学习</w:t>
      </w:r>
      <w:r w:rsidRPr="008B7D33">
        <w:rPr>
          <w:rFonts w:asciiTheme="minorEastAsia" w:eastAsiaTheme="minorEastAsia" w:hAnsiTheme="minorEastAsia"/>
          <w:sz w:val="21"/>
          <w:szCs w:val="21"/>
        </w:rPr>
        <w:t>——</w:t>
      </w:r>
      <w:r w:rsidRPr="00BE595B">
        <w:rPr>
          <w:rFonts w:ascii="SimSun" w:hAnsi="SimSun"/>
          <w:sz w:val="21"/>
          <w:szCs w:val="21"/>
        </w:rPr>
        <w:t>指导委员会</w:t>
      </w:r>
      <w:r w:rsidRPr="001E4AB5">
        <w:rPr>
          <w:rFonts w:asciiTheme="minorEastAsia" w:eastAsiaTheme="minorEastAsia" w:hAnsiTheme="minorEastAsia"/>
          <w:sz w:val="21"/>
          <w:szCs w:val="21"/>
        </w:rPr>
        <w:t>”</w:t>
      </w:r>
      <w:r w:rsidRPr="00BE595B">
        <w:rPr>
          <w:rFonts w:ascii="SimSun" w:hAnsi="SimSun"/>
          <w:sz w:val="21"/>
          <w:szCs w:val="21"/>
        </w:rPr>
        <w:t>成员，从而促进实现具体目标17.9。</w:t>
      </w:r>
      <w:r w:rsidRPr="001E4AB5">
        <w:rPr>
          <w:rFonts w:asciiTheme="minorEastAsia" w:eastAsiaTheme="minorEastAsia" w:hAnsiTheme="minorEastAsia"/>
          <w:sz w:val="21"/>
          <w:szCs w:val="21"/>
        </w:rPr>
        <w:t>“</w:t>
      </w:r>
      <w:r w:rsidRPr="00BE595B">
        <w:rPr>
          <w:rFonts w:ascii="SimSun" w:hAnsi="SimSun"/>
          <w:sz w:val="21"/>
          <w:szCs w:val="21"/>
        </w:rPr>
        <w:t>联合国可持续发展集团：学习</w:t>
      </w:r>
      <w:r w:rsidRPr="008B7D33">
        <w:rPr>
          <w:rFonts w:asciiTheme="minorEastAsia" w:eastAsiaTheme="minorEastAsia" w:hAnsiTheme="minorEastAsia"/>
          <w:sz w:val="21"/>
          <w:szCs w:val="21"/>
        </w:rPr>
        <w:t>——</w:t>
      </w:r>
      <w:r w:rsidRPr="00BE595B">
        <w:rPr>
          <w:rFonts w:ascii="SimSun" w:hAnsi="SimSun"/>
          <w:sz w:val="21"/>
          <w:szCs w:val="21"/>
        </w:rPr>
        <w:t>指导委员会</w:t>
      </w:r>
      <w:r w:rsidRPr="001E4AB5">
        <w:rPr>
          <w:rFonts w:asciiTheme="minorEastAsia" w:eastAsiaTheme="minorEastAsia" w:hAnsiTheme="minorEastAsia"/>
          <w:sz w:val="21"/>
          <w:szCs w:val="21"/>
        </w:rPr>
        <w:t>”</w:t>
      </w:r>
      <w:r w:rsidRPr="00BE595B">
        <w:rPr>
          <w:rFonts w:ascii="SimSun" w:hAnsi="SimSun"/>
          <w:sz w:val="21"/>
          <w:szCs w:val="21"/>
        </w:rPr>
        <w:t>是联合国训练研究所</w:t>
      </w:r>
      <w:r w:rsidRPr="001E4AB5">
        <w:rPr>
          <w:rFonts w:asciiTheme="minorEastAsia" w:eastAsiaTheme="minorEastAsia" w:hAnsiTheme="minorEastAsia"/>
          <w:sz w:val="21"/>
          <w:szCs w:val="21"/>
        </w:rPr>
        <w:t>（</w:t>
      </w:r>
      <w:r w:rsidRPr="00BE595B">
        <w:rPr>
          <w:rFonts w:ascii="SimSun" w:hAnsi="SimSun"/>
          <w:sz w:val="21"/>
          <w:szCs w:val="21"/>
        </w:rPr>
        <w:t>UNITAR</w:t>
      </w:r>
      <w:r w:rsidRPr="001E4AB5">
        <w:rPr>
          <w:rFonts w:asciiTheme="minorEastAsia" w:eastAsiaTheme="minorEastAsia" w:hAnsiTheme="minorEastAsia"/>
          <w:sz w:val="21"/>
          <w:szCs w:val="21"/>
        </w:rPr>
        <w:t>）</w:t>
      </w:r>
      <w:r w:rsidRPr="00BE595B">
        <w:rPr>
          <w:rFonts w:ascii="SimSun" w:hAnsi="SimSun"/>
          <w:sz w:val="21"/>
          <w:szCs w:val="21"/>
        </w:rPr>
        <w:t>发起的一项倡议，旨在为与可持续发展目标相关主题的电子学习资源提供通用门户。该倡议已吸引约60,000名参与者。WIPO学院的知识产权通用课程提供给联合国可持续发展集团学习平台，以加强知识产权知识与创新以及经济、社会和文化发展，特别是可持续发展目标9和4的相关性。</w:t>
      </w:r>
    </w:p>
    <w:p w14:paraId="73526005" w14:textId="029D1EBC" w:rsidR="002A674D"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第十届阿拉伯地区工业产权局局长协调会于2023年10月24日至26日在突尼斯的突尼斯市举行。该会议旨在改进知识产权局在鼓励创新和支持企业更好地利用阿拉伯地区知识产权制度方面的职能，为此提供了一个论坛，以分享各国成功经验和挑战，并讨论中小型企业和初创企业利用知识产权制度提高企业竞争力的问题，以及发展有利于妇女和青年的包容性知识产权和创新生态系统问题。会议还强调，需要提高对地区环境问题的认识，并确定知识产权局可以采取的潜在行动，以支持绿色技术创新和部署。会议促进实现具体目标17.8以及具体目标5.5、5.b、6.a、7.b、9.4、14.1和14.a。</w:t>
      </w:r>
    </w:p>
    <w:p w14:paraId="4487FA4F" w14:textId="0336C257" w:rsidR="002A674D" w:rsidRPr="00EA5ACD" w:rsidRDefault="00F351BA" w:rsidP="00EA5ACD">
      <w:pPr>
        <w:pStyle w:val="Heading1"/>
        <w:keepLines/>
        <w:overflowPunct w:val="0"/>
        <w:spacing w:beforeLines="100" w:afterLines="50" w:after="120" w:line="340" w:lineRule="exact"/>
        <w:jc w:val="both"/>
        <w:rPr>
          <w:rFonts w:ascii="SimHei" w:eastAsia="SimHei" w:hAnsi="SimHei"/>
          <w:b w:val="0"/>
          <w:bCs w:val="0"/>
          <w:noProof/>
          <w:sz w:val="21"/>
          <w:szCs w:val="21"/>
        </w:rPr>
      </w:pPr>
      <w:r w:rsidRPr="00EA5ACD">
        <w:rPr>
          <w:rFonts w:ascii="SimHei" w:eastAsia="SimHei" w:hAnsi="SimHei"/>
          <w:b w:val="0"/>
          <w:bCs w:val="0"/>
          <w:noProof/>
          <w:sz w:val="21"/>
          <w:szCs w:val="21"/>
        </w:rPr>
        <w:fldChar w:fldCharType="begin"/>
      </w:r>
      <w:r w:rsidRPr="00EA5ACD">
        <w:rPr>
          <w:rFonts w:ascii="SimHei" w:eastAsia="SimHei" w:hAnsi="SimHei"/>
          <w:b w:val="0"/>
          <w:bCs w:val="0"/>
          <w:noProof/>
          <w:sz w:val="21"/>
          <w:szCs w:val="21"/>
        </w:rPr>
        <w:instrText xml:space="preserve"> </w:instrText>
      </w:r>
      <w:r w:rsidRPr="00EA5ACD">
        <w:rPr>
          <w:rFonts w:ascii="SimHei" w:eastAsia="SimHei" w:hAnsi="SimHei" w:hint="eastAsia"/>
          <w:b w:val="0"/>
          <w:bCs w:val="0"/>
          <w:noProof/>
          <w:sz w:val="21"/>
          <w:szCs w:val="21"/>
        </w:rPr>
        <w:instrText>= 2 \* CHINESENUM3</w:instrText>
      </w:r>
      <w:r w:rsidRPr="00EA5ACD">
        <w:rPr>
          <w:rFonts w:ascii="SimHei" w:eastAsia="SimHei" w:hAnsi="SimHei"/>
          <w:b w:val="0"/>
          <w:bCs w:val="0"/>
          <w:noProof/>
          <w:sz w:val="21"/>
          <w:szCs w:val="21"/>
        </w:rPr>
        <w:instrText xml:space="preserve"> </w:instrText>
      </w:r>
      <w:r w:rsidRPr="00EA5ACD">
        <w:rPr>
          <w:rFonts w:ascii="SimHei" w:eastAsia="SimHei" w:hAnsi="SimHei"/>
          <w:b w:val="0"/>
          <w:bCs w:val="0"/>
          <w:noProof/>
          <w:sz w:val="21"/>
          <w:szCs w:val="21"/>
        </w:rPr>
        <w:fldChar w:fldCharType="separate"/>
      </w:r>
      <w:r w:rsidRPr="00EA5ACD">
        <w:rPr>
          <w:rFonts w:ascii="SimHei" w:eastAsia="SimHei" w:hAnsi="SimHei" w:hint="eastAsia"/>
          <w:b w:val="0"/>
          <w:bCs w:val="0"/>
          <w:noProof/>
          <w:sz w:val="21"/>
          <w:szCs w:val="21"/>
        </w:rPr>
        <w:t>二</w:t>
      </w:r>
      <w:r w:rsidRPr="00EA5ACD">
        <w:rPr>
          <w:rFonts w:ascii="SimHei" w:eastAsia="SimHei" w:hAnsi="SimHei"/>
          <w:b w:val="0"/>
          <w:bCs w:val="0"/>
          <w:noProof/>
          <w:sz w:val="21"/>
          <w:szCs w:val="21"/>
        </w:rPr>
        <w:fldChar w:fldCharType="end"/>
      </w:r>
      <w:r w:rsidRPr="00EA5ACD">
        <w:rPr>
          <w:rFonts w:ascii="SimHei" w:eastAsia="SimHei" w:hAnsi="SimHei" w:hint="eastAsia"/>
          <w:b w:val="0"/>
          <w:bCs w:val="0"/>
          <w:noProof/>
          <w:sz w:val="21"/>
          <w:szCs w:val="21"/>
        </w:rPr>
        <w:t>、</w:t>
      </w:r>
      <w:r w:rsidRPr="00EA5ACD">
        <w:rPr>
          <w:rFonts w:ascii="SimHei" w:eastAsia="SimHei" w:hAnsi="SimHei"/>
          <w:b w:val="0"/>
          <w:bCs w:val="0"/>
          <w:noProof/>
          <w:sz w:val="21"/>
          <w:szCs w:val="21"/>
        </w:rPr>
        <w:t>产权组织作为联合国系统的一部分开展的活动</w:t>
      </w:r>
    </w:p>
    <w:p w14:paraId="6264BE63"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产权组织继续与其他联合国机构合作，以实现可持续发展目标。</w:t>
      </w:r>
    </w:p>
    <w:p w14:paraId="7598DA3A"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在2023年9月1</w:t>
      </w:r>
      <w:r w:rsidR="0041786B" w:rsidRPr="00BE595B">
        <w:rPr>
          <w:rFonts w:ascii="SimSun" w:hAnsi="SimSun"/>
          <w:sz w:val="21"/>
          <w:szCs w:val="21"/>
        </w:rPr>
        <w:t>7</w:t>
      </w:r>
      <w:r w:rsidRPr="00BE595B">
        <w:rPr>
          <w:rFonts w:ascii="SimSun" w:hAnsi="SimSun"/>
          <w:sz w:val="21"/>
          <w:szCs w:val="21"/>
        </w:rPr>
        <w:t>日于纽约联合国总部举行的可持续发展目标</w:t>
      </w:r>
      <w:r w:rsidRPr="001E4AB5">
        <w:rPr>
          <w:rFonts w:asciiTheme="minorEastAsia" w:eastAsiaTheme="minorEastAsia" w:hAnsiTheme="minorEastAsia"/>
          <w:sz w:val="21"/>
          <w:szCs w:val="21"/>
        </w:rPr>
        <w:t>（</w:t>
      </w:r>
      <w:r w:rsidRPr="00BE595B">
        <w:rPr>
          <w:rFonts w:ascii="SimSun" w:hAnsi="SimSun"/>
          <w:sz w:val="21"/>
          <w:szCs w:val="21"/>
        </w:rPr>
        <w:t>SDG</w:t>
      </w:r>
      <w:r w:rsidRPr="001E4AB5">
        <w:rPr>
          <w:rFonts w:asciiTheme="minorEastAsia" w:eastAsiaTheme="minorEastAsia" w:hAnsiTheme="minorEastAsia"/>
          <w:sz w:val="21"/>
          <w:szCs w:val="21"/>
        </w:rPr>
        <w:t>）</w:t>
      </w:r>
      <w:hyperlink r:id="rId76" w:history="1">
        <w:r w:rsidR="0041786B" w:rsidRPr="0041786B">
          <w:rPr>
            <w:rStyle w:val="Hyperlink"/>
            <w:rFonts w:asciiTheme="minorEastAsia" w:eastAsiaTheme="minorEastAsia" w:hAnsiTheme="minorEastAsia" w:hint="eastAsia"/>
            <w:sz w:val="21"/>
            <w:szCs w:val="21"/>
          </w:rPr>
          <w:t>数字活动</w:t>
        </w:r>
      </w:hyperlink>
      <w:r w:rsidRPr="00BE595B">
        <w:rPr>
          <w:rFonts w:ascii="SimSun" w:hAnsi="SimSun"/>
          <w:sz w:val="21"/>
          <w:szCs w:val="21"/>
        </w:rPr>
        <w:t>期间，为了支持具体目标13.1和13.3，WIPO GREEN</w:t>
      </w:r>
      <w:r w:rsidR="002640ED" w:rsidRPr="00BE595B">
        <w:rPr>
          <w:rFonts w:ascii="SimSun" w:hAnsi="SimSun" w:hint="eastAsia"/>
          <w:sz w:val="21"/>
          <w:szCs w:val="21"/>
        </w:rPr>
        <w:t>创新</w:t>
      </w:r>
      <w:r w:rsidRPr="00BE595B">
        <w:rPr>
          <w:rFonts w:ascii="SimSun" w:hAnsi="SimSun"/>
          <w:sz w:val="21"/>
          <w:szCs w:val="21"/>
        </w:rPr>
        <w:t>技术</w:t>
      </w:r>
      <w:r w:rsidR="002640ED" w:rsidRPr="00BE595B">
        <w:rPr>
          <w:rFonts w:ascii="SimSun" w:hAnsi="SimSun" w:hint="eastAsia"/>
          <w:sz w:val="21"/>
          <w:szCs w:val="21"/>
        </w:rPr>
        <w:t>和需求</w:t>
      </w:r>
      <w:r w:rsidRPr="00BE595B">
        <w:rPr>
          <w:rFonts w:ascii="SimSun" w:hAnsi="SimSun"/>
          <w:sz w:val="21"/>
          <w:szCs w:val="21"/>
        </w:rPr>
        <w:t>数据库被认定是应对气候变化的颠覆性数字解决方案。</w:t>
      </w:r>
    </w:p>
    <w:p w14:paraId="7C341D31"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为了支持具体目标3.3、3.8和3.b，世卫组织、产权组织、世贸组织在公共卫生、知识产权和贸易方面的三方合作于2023年11月14日举行了题为</w:t>
      </w:r>
      <w:r w:rsidRPr="001E4AB5">
        <w:rPr>
          <w:rFonts w:asciiTheme="minorEastAsia" w:eastAsiaTheme="minorEastAsia" w:hAnsiTheme="minorEastAsia"/>
          <w:sz w:val="21"/>
          <w:szCs w:val="21"/>
        </w:rPr>
        <w:t>“</w:t>
      </w:r>
      <w:r w:rsidRPr="00BE595B">
        <w:rPr>
          <w:rFonts w:ascii="SimSun" w:hAnsi="SimSun"/>
          <w:sz w:val="21"/>
          <w:szCs w:val="21"/>
        </w:rPr>
        <w:t>面向未来：人类健康与气候变化</w:t>
      </w:r>
      <w:r w:rsidRPr="001E4AB5">
        <w:rPr>
          <w:rFonts w:asciiTheme="minorEastAsia" w:eastAsiaTheme="minorEastAsia" w:hAnsiTheme="minorEastAsia"/>
          <w:sz w:val="21"/>
          <w:szCs w:val="21"/>
        </w:rPr>
        <w:t>”</w:t>
      </w:r>
      <w:r w:rsidRPr="00BE595B">
        <w:rPr>
          <w:rFonts w:ascii="SimSun" w:hAnsi="SimSun"/>
          <w:sz w:val="21"/>
          <w:szCs w:val="21"/>
        </w:rPr>
        <w:t>的第十届联合技术专题讨论会，会议强调了必须探索公共卫生、贸易和知识产权的交叉关系，利用现有工具并开发新技术以解决气候变化对人类健康的影响。</w:t>
      </w:r>
    </w:p>
    <w:p w14:paraId="198101C5"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世卫组织、产权组织、世贸组织三方合作也于2023年启动了</w:t>
      </w:r>
      <w:r w:rsidRPr="001E4AB5">
        <w:rPr>
          <w:rFonts w:asciiTheme="minorEastAsia" w:eastAsiaTheme="minorEastAsia" w:hAnsiTheme="minorEastAsia"/>
          <w:sz w:val="21"/>
          <w:szCs w:val="21"/>
        </w:rPr>
        <w:t>“</w:t>
      </w:r>
      <w:r w:rsidRPr="00BE595B">
        <w:rPr>
          <w:rFonts w:ascii="SimSun" w:hAnsi="SimSun"/>
          <w:sz w:val="21"/>
          <w:szCs w:val="21"/>
        </w:rPr>
        <w:t>应对2019冠状病毒病大流行的卫生、贸易和知识产权综合方法</w:t>
      </w:r>
      <w:r w:rsidRPr="001E4AB5">
        <w:rPr>
          <w:rFonts w:asciiTheme="minorEastAsia" w:eastAsiaTheme="minorEastAsia" w:hAnsiTheme="minorEastAsia"/>
          <w:sz w:val="21"/>
          <w:szCs w:val="21"/>
        </w:rPr>
        <w:t>”</w:t>
      </w:r>
      <w:r w:rsidRPr="00BE595B">
        <w:rPr>
          <w:rFonts w:ascii="SimSun" w:hAnsi="SimSun"/>
          <w:sz w:val="21"/>
          <w:szCs w:val="21"/>
        </w:rPr>
        <w:t>摘录的</w:t>
      </w:r>
      <w:hyperlink r:id="rId77" w:history="1">
        <w:r w:rsidRPr="00BE595B">
          <w:rPr>
            <w:rStyle w:val="Hyperlink"/>
            <w:rFonts w:ascii="SimSun" w:hAnsi="SimSun"/>
            <w:sz w:val="21"/>
            <w:szCs w:val="21"/>
          </w:rPr>
          <w:t>第二次更新</w:t>
        </w:r>
      </w:hyperlink>
      <w:r w:rsidRPr="00BE595B">
        <w:rPr>
          <w:rFonts w:ascii="SimSun" w:hAnsi="SimSun"/>
          <w:sz w:val="21"/>
          <w:szCs w:val="21"/>
        </w:rPr>
        <w:t>，该摘录描绘了COVID-19大流行对卫生、贸易和知识产权综合政策框架构成的挑战。</w:t>
      </w:r>
    </w:p>
    <w:p w14:paraId="40CAF6B4"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产权组织进一步为联合国可持续发展合作</w:t>
      </w:r>
      <w:hyperlink r:id="rId78" w:history="1">
        <w:r w:rsidRPr="00BE595B">
          <w:rPr>
            <w:rStyle w:val="Hyperlink"/>
            <w:rFonts w:ascii="SimSun" w:hAnsi="SimSun"/>
            <w:sz w:val="21"/>
            <w:szCs w:val="21"/>
          </w:rPr>
          <w:t>框架</w:t>
        </w:r>
      </w:hyperlink>
      <w:r w:rsidRPr="00BE595B">
        <w:rPr>
          <w:rFonts w:ascii="SimSun" w:hAnsi="SimSun"/>
          <w:sz w:val="21"/>
          <w:szCs w:val="21"/>
        </w:rPr>
        <w:t>做出了贡献。作为联合</w:t>
      </w:r>
      <w:r w:rsidRPr="00BE595B">
        <w:rPr>
          <w:rFonts w:ascii="SimSun" w:hAnsi="SimSun"/>
          <w:color w:val="4D5156"/>
          <w:sz w:val="21"/>
          <w:szCs w:val="21"/>
          <w:shd w:val="clear" w:color="auto" w:fill="FFFFFF"/>
        </w:rPr>
        <w:t>国国家工作队</w:t>
      </w:r>
      <w:r w:rsidRPr="00BE595B">
        <w:rPr>
          <w:rFonts w:ascii="SimSun" w:hAnsi="SimSun"/>
          <w:sz w:val="21"/>
          <w:szCs w:val="21"/>
        </w:rPr>
        <w:t>为</w:t>
      </w:r>
      <w:hyperlink r:id="rId79" w:history="1">
        <w:r w:rsidRPr="00BE595B">
          <w:rPr>
            <w:rStyle w:val="Hyperlink"/>
            <w:rFonts w:ascii="SimSun" w:hAnsi="SimSun"/>
            <w:color w:val="auto"/>
            <w:sz w:val="21"/>
            <w:szCs w:val="21"/>
          </w:rPr>
          <w:t>佛得角</w:t>
        </w:r>
      </w:hyperlink>
      <w:r w:rsidRPr="00BE595B">
        <w:rPr>
          <w:rFonts w:ascii="SimSun" w:hAnsi="SimSun"/>
          <w:sz w:val="21"/>
          <w:szCs w:val="21"/>
        </w:rPr>
        <w:t>开展的联合工作计划活动的一部分，产权组织提供了立法援助，形式包括审查国家知识产权编码，支持起草关于地理标志法规、知识产权代理人章程和以电子方式提交知识产权注册申请的提案。产权组织还提供了技术援助，帮助起草国家知识产权政策和战略</w:t>
      </w:r>
      <w:r w:rsidRPr="001E4AB5">
        <w:rPr>
          <w:rFonts w:asciiTheme="minorEastAsia" w:eastAsiaTheme="minorEastAsia" w:hAnsiTheme="minorEastAsia"/>
          <w:sz w:val="21"/>
          <w:szCs w:val="21"/>
        </w:rPr>
        <w:t>（</w:t>
      </w:r>
      <w:r w:rsidRPr="00BE595B">
        <w:rPr>
          <w:rFonts w:ascii="SimSun" w:hAnsi="SimSun"/>
          <w:sz w:val="21"/>
          <w:szCs w:val="21"/>
        </w:rPr>
        <w:t>NIPPS</w:t>
      </w:r>
      <w:r w:rsidRPr="001E4AB5">
        <w:rPr>
          <w:rFonts w:asciiTheme="minorEastAsia" w:eastAsiaTheme="minorEastAsia" w:hAnsiTheme="minorEastAsia"/>
          <w:sz w:val="21"/>
          <w:szCs w:val="21"/>
        </w:rPr>
        <w:t>）</w:t>
      </w:r>
      <w:r w:rsidRPr="00BE595B">
        <w:rPr>
          <w:rFonts w:ascii="SimSun" w:hAnsi="SimSun"/>
          <w:sz w:val="21"/>
          <w:szCs w:val="21"/>
        </w:rPr>
        <w:t>领导机构的业务指南，制定知识产权意识和能力建设项目及其在优先部门的实施路线图。这些活动促进实现具体目标4.4、4.7、8.3、9.3</w:t>
      </w:r>
      <w:r w:rsidR="00A714FB" w:rsidRPr="00BE595B">
        <w:rPr>
          <w:rFonts w:ascii="SimSun" w:hAnsi="SimSun" w:hint="eastAsia"/>
          <w:sz w:val="21"/>
          <w:szCs w:val="21"/>
        </w:rPr>
        <w:t>和</w:t>
      </w:r>
      <w:r w:rsidRPr="00BE595B">
        <w:rPr>
          <w:rFonts w:ascii="SimSun" w:hAnsi="SimSun"/>
          <w:sz w:val="21"/>
          <w:szCs w:val="21"/>
        </w:rPr>
        <w:t>9.b。</w:t>
      </w:r>
    </w:p>
    <w:p w14:paraId="21F84032"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WIPO学院与联合国教科文组织合作，于2023年4月25日至28日办了第五期</w:t>
      </w:r>
      <w:r w:rsidRPr="001E4AB5">
        <w:rPr>
          <w:rFonts w:asciiTheme="minorEastAsia" w:eastAsiaTheme="minorEastAsia" w:hAnsiTheme="minorEastAsia"/>
          <w:sz w:val="21"/>
          <w:szCs w:val="21"/>
        </w:rPr>
        <w:t>“</w:t>
      </w:r>
      <w:r w:rsidRPr="00BE595B">
        <w:rPr>
          <w:rFonts w:ascii="SimSun" w:hAnsi="SimSun"/>
          <w:sz w:val="21"/>
          <w:szCs w:val="21"/>
        </w:rPr>
        <w:t>女性科学家和创新者知识产权、科学和创新</w:t>
      </w:r>
      <w:hyperlink r:id="rId80" w:history="1">
        <w:r w:rsidRPr="00BE595B">
          <w:rPr>
            <w:rStyle w:val="Hyperlink"/>
            <w:rFonts w:ascii="SimSun" w:hAnsi="SimSun"/>
            <w:sz w:val="21"/>
            <w:szCs w:val="21"/>
          </w:rPr>
          <w:t>领导力课程</w:t>
        </w:r>
      </w:hyperlink>
      <w:r w:rsidRPr="001E4AB5">
        <w:rPr>
          <w:rFonts w:asciiTheme="minorEastAsia" w:eastAsiaTheme="minorEastAsia" w:hAnsiTheme="minorEastAsia"/>
          <w:sz w:val="21"/>
          <w:szCs w:val="21"/>
        </w:rPr>
        <w:t>”</w:t>
      </w:r>
      <w:r w:rsidRPr="00BE595B">
        <w:rPr>
          <w:rFonts w:ascii="SimSun" w:hAnsi="SimSun"/>
          <w:sz w:val="21"/>
          <w:szCs w:val="21"/>
        </w:rPr>
        <w:t>，旨在增强来自16个国家的20名获奖女性科学家从知识产权制度中获益的能力，并在从研究到商业化的潜在过程中利用知识产权作为工具。在2023年4月26日世界知识产权日，这些女性科学家还参加了以混合形式举行的关于</w:t>
      </w:r>
      <w:r w:rsidRPr="001E4AB5">
        <w:rPr>
          <w:rFonts w:asciiTheme="minorEastAsia" w:eastAsiaTheme="minorEastAsia" w:hAnsiTheme="minorEastAsia"/>
          <w:sz w:val="21"/>
          <w:szCs w:val="21"/>
        </w:rPr>
        <w:t>“</w:t>
      </w:r>
      <w:hyperlink r:id="rId81" w:history="1">
        <w:r w:rsidRPr="00BE595B">
          <w:rPr>
            <w:rStyle w:val="Hyperlink"/>
            <w:rFonts w:ascii="SimSun" w:hAnsi="SimSun"/>
            <w:sz w:val="21"/>
            <w:szCs w:val="21"/>
          </w:rPr>
          <w:t>女性参与科学</w:t>
        </w:r>
      </w:hyperlink>
      <w:r w:rsidRPr="008B7D33">
        <w:rPr>
          <w:rFonts w:asciiTheme="minorEastAsia" w:eastAsiaTheme="minorEastAsia" w:hAnsiTheme="minorEastAsia"/>
          <w:sz w:val="21"/>
          <w:szCs w:val="21"/>
        </w:rPr>
        <w:t>——</w:t>
      </w:r>
      <w:r w:rsidRPr="00BE595B">
        <w:rPr>
          <w:rFonts w:ascii="SimSun" w:hAnsi="SimSun"/>
          <w:sz w:val="21"/>
          <w:szCs w:val="21"/>
        </w:rPr>
        <w:t>塑造未来</w:t>
      </w:r>
      <w:r w:rsidRPr="001E4AB5">
        <w:rPr>
          <w:rFonts w:asciiTheme="minorEastAsia" w:eastAsiaTheme="minorEastAsia" w:hAnsiTheme="minorEastAsia"/>
          <w:sz w:val="21"/>
          <w:szCs w:val="21"/>
        </w:rPr>
        <w:t>”</w:t>
      </w:r>
      <w:r w:rsidRPr="00BE595B">
        <w:rPr>
          <w:rFonts w:ascii="SimSun" w:hAnsi="SimSun"/>
          <w:sz w:val="21"/>
          <w:szCs w:val="21"/>
        </w:rPr>
        <w:t>的圆桌讨论。1,500多名与会者参与了关于为妇女和女童进入STEM领域以及知识产权制度创造有利环境的策略的讨论。</w:t>
      </w:r>
    </w:p>
    <w:p w14:paraId="2607D9F0"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WIPO学院与联合国贸易和发展会议</w:t>
      </w:r>
      <w:r w:rsidRPr="001E4AB5">
        <w:rPr>
          <w:rFonts w:asciiTheme="minorEastAsia" w:eastAsiaTheme="minorEastAsia" w:hAnsiTheme="minorEastAsia"/>
          <w:sz w:val="21"/>
          <w:szCs w:val="21"/>
        </w:rPr>
        <w:t>（</w:t>
      </w:r>
      <w:r w:rsidRPr="00BE595B">
        <w:rPr>
          <w:rFonts w:ascii="SimSun" w:hAnsi="SimSun"/>
          <w:sz w:val="21"/>
          <w:szCs w:val="21"/>
        </w:rPr>
        <w:t>贸发会议</w:t>
      </w:r>
      <w:r w:rsidRPr="001E4AB5">
        <w:rPr>
          <w:rFonts w:asciiTheme="minorEastAsia" w:eastAsiaTheme="minorEastAsia" w:hAnsiTheme="minorEastAsia"/>
          <w:sz w:val="21"/>
          <w:szCs w:val="21"/>
        </w:rPr>
        <w:t>）</w:t>
      </w:r>
      <w:r w:rsidRPr="00BE595B">
        <w:rPr>
          <w:rFonts w:ascii="SimSun" w:hAnsi="SimSun"/>
          <w:sz w:val="21"/>
          <w:szCs w:val="21"/>
        </w:rPr>
        <w:t>的</w:t>
      </w:r>
      <w:r w:rsidRPr="001E4AB5">
        <w:rPr>
          <w:rFonts w:asciiTheme="minorEastAsia" w:eastAsiaTheme="minorEastAsia" w:hAnsiTheme="minorEastAsia"/>
          <w:sz w:val="21"/>
          <w:szCs w:val="21"/>
        </w:rPr>
        <w:t>“</w:t>
      </w:r>
      <w:hyperlink r:id="rId82" w:history="1">
        <w:r w:rsidRPr="00BE595B">
          <w:rPr>
            <w:rStyle w:val="Hyperlink"/>
            <w:rFonts w:ascii="SimSun" w:hAnsi="SimSun"/>
            <w:sz w:val="21"/>
            <w:szCs w:val="21"/>
          </w:rPr>
          <w:t>妇女电子贸易</w:t>
        </w:r>
      </w:hyperlink>
      <w:r w:rsidRPr="001E4AB5">
        <w:rPr>
          <w:rFonts w:asciiTheme="minorEastAsia" w:eastAsiaTheme="minorEastAsia" w:hAnsiTheme="minorEastAsia"/>
          <w:sz w:val="21"/>
          <w:szCs w:val="21"/>
        </w:rPr>
        <w:t>”</w:t>
      </w:r>
      <w:r w:rsidRPr="00BE595B">
        <w:rPr>
          <w:rFonts w:ascii="SimSun" w:hAnsi="SimSun"/>
          <w:sz w:val="21"/>
          <w:szCs w:val="21"/>
        </w:rPr>
        <w:t>倡议合作，进一步举办了一系列关于数字中小企业知识产权和扩大妇女主导的数字企业的大师班，惠及自拉丁美洲和加勒比地区以及东盟和太平洋地区的50名女企业家。这些活动的开展支持了具体目标5.5和5.b。</w:t>
      </w:r>
    </w:p>
    <w:p w14:paraId="6413DE83" w14:textId="4BC37FBA" w:rsidR="002A674D" w:rsidRPr="00BE595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在</w:t>
      </w:r>
      <w:r w:rsidRPr="00BE595B">
        <w:rPr>
          <w:rFonts w:ascii="SimSun" w:hAnsi="SimSun"/>
          <w:b/>
          <w:sz w:val="21"/>
          <w:szCs w:val="21"/>
        </w:rPr>
        <w:t>南南合作和三方合作</w:t>
      </w:r>
      <w:r w:rsidRPr="00BE595B">
        <w:rPr>
          <w:rFonts w:ascii="SimSun" w:hAnsi="SimSun"/>
          <w:sz w:val="21"/>
          <w:szCs w:val="21"/>
        </w:rPr>
        <w:t>领域，产权组织继续与联合国南南合作办公室</w:t>
      </w:r>
      <w:r w:rsidRPr="001E4AB5">
        <w:rPr>
          <w:rFonts w:asciiTheme="minorEastAsia" w:eastAsiaTheme="minorEastAsia" w:hAnsiTheme="minorEastAsia"/>
          <w:sz w:val="21"/>
          <w:szCs w:val="21"/>
        </w:rPr>
        <w:t>（</w:t>
      </w:r>
      <w:r w:rsidRPr="00BE595B">
        <w:rPr>
          <w:rFonts w:ascii="SimSun" w:hAnsi="SimSun"/>
          <w:sz w:val="21"/>
          <w:szCs w:val="21"/>
        </w:rPr>
        <w:t>南合办</w:t>
      </w:r>
      <w:r w:rsidRPr="001E4AB5">
        <w:rPr>
          <w:rFonts w:asciiTheme="minorEastAsia" w:eastAsiaTheme="minorEastAsia" w:hAnsiTheme="minorEastAsia"/>
          <w:sz w:val="21"/>
          <w:szCs w:val="21"/>
        </w:rPr>
        <w:t>）</w:t>
      </w:r>
      <w:r w:rsidRPr="00BE595B">
        <w:rPr>
          <w:rFonts w:ascii="SimSun" w:hAnsi="SimSun"/>
          <w:sz w:val="21"/>
          <w:szCs w:val="21"/>
        </w:rPr>
        <w:t>和其他联合国机构定期进行协调与合作，以确保采取协调一致的方法促进南南合作和三方合作倡议。在2023年5月16日以混合形式举行的促进知识产权和创新领域南南合作和三方合作第二次圆桌会议上，南合办主任迪玛·阿尔哈提卜女士发表了特别讲话，并主持了本次会议。来自成员国、相关政府间组织和非政府组织的约120名与会者线下或在线参加本次会议。</w:t>
      </w:r>
    </w:p>
    <w:p w14:paraId="76FC6C6B" w14:textId="11544F68" w:rsidR="002A674D" w:rsidRPr="00EA5ACD" w:rsidRDefault="00F351BA" w:rsidP="00EA5ACD">
      <w:pPr>
        <w:pStyle w:val="Heading1"/>
        <w:keepLines/>
        <w:overflowPunct w:val="0"/>
        <w:spacing w:beforeLines="100" w:afterLines="50" w:after="120" w:line="340" w:lineRule="exact"/>
        <w:jc w:val="both"/>
        <w:rPr>
          <w:rFonts w:ascii="SimHei" w:eastAsia="SimHei" w:hAnsi="SimHei"/>
          <w:b w:val="0"/>
          <w:bCs w:val="0"/>
          <w:noProof/>
          <w:sz w:val="21"/>
          <w:szCs w:val="21"/>
        </w:rPr>
      </w:pPr>
      <w:r w:rsidRPr="00EA5ACD">
        <w:rPr>
          <w:rFonts w:ascii="SimHei" w:eastAsia="SimHei" w:hAnsi="SimHei"/>
          <w:b w:val="0"/>
          <w:bCs w:val="0"/>
          <w:noProof/>
          <w:sz w:val="21"/>
          <w:szCs w:val="21"/>
        </w:rPr>
        <w:fldChar w:fldCharType="begin"/>
      </w:r>
      <w:r w:rsidRPr="00EA5ACD">
        <w:rPr>
          <w:rFonts w:ascii="SimHei" w:eastAsia="SimHei" w:hAnsi="SimHei"/>
          <w:b w:val="0"/>
          <w:bCs w:val="0"/>
          <w:noProof/>
          <w:sz w:val="21"/>
          <w:szCs w:val="21"/>
        </w:rPr>
        <w:instrText xml:space="preserve"> </w:instrText>
      </w:r>
      <w:r w:rsidRPr="00EA5ACD">
        <w:rPr>
          <w:rFonts w:ascii="SimHei" w:eastAsia="SimHei" w:hAnsi="SimHei" w:hint="eastAsia"/>
          <w:b w:val="0"/>
          <w:bCs w:val="0"/>
          <w:noProof/>
          <w:sz w:val="21"/>
          <w:szCs w:val="21"/>
        </w:rPr>
        <w:instrText>= 3 \* CHINESENUM3</w:instrText>
      </w:r>
      <w:r w:rsidRPr="00EA5ACD">
        <w:rPr>
          <w:rFonts w:ascii="SimHei" w:eastAsia="SimHei" w:hAnsi="SimHei"/>
          <w:b w:val="0"/>
          <w:bCs w:val="0"/>
          <w:noProof/>
          <w:sz w:val="21"/>
          <w:szCs w:val="21"/>
        </w:rPr>
        <w:instrText xml:space="preserve"> </w:instrText>
      </w:r>
      <w:r w:rsidRPr="00EA5ACD">
        <w:rPr>
          <w:rFonts w:ascii="SimHei" w:eastAsia="SimHei" w:hAnsi="SimHei"/>
          <w:b w:val="0"/>
          <w:bCs w:val="0"/>
          <w:noProof/>
          <w:sz w:val="21"/>
          <w:szCs w:val="21"/>
        </w:rPr>
        <w:fldChar w:fldCharType="separate"/>
      </w:r>
      <w:r w:rsidRPr="00EA5ACD">
        <w:rPr>
          <w:rFonts w:ascii="SimHei" w:eastAsia="SimHei" w:hAnsi="SimHei" w:hint="eastAsia"/>
          <w:b w:val="0"/>
          <w:bCs w:val="0"/>
          <w:noProof/>
          <w:sz w:val="21"/>
          <w:szCs w:val="21"/>
        </w:rPr>
        <w:t>三</w:t>
      </w:r>
      <w:r w:rsidRPr="00EA5ACD">
        <w:rPr>
          <w:rFonts w:ascii="SimHei" w:eastAsia="SimHei" w:hAnsi="SimHei"/>
          <w:b w:val="0"/>
          <w:bCs w:val="0"/>
          <w:noProof/>
          <w:sz w:val="21"/>
          <w:szCs w:val="21"/>
        </w:rPr>
        <w:fldChar w:fldCharType="end"/>
      </w:r>
      <w:r w:rsidRPr="00EA5ACD">
        <w:rPr>
          <w:rFonts w:ascii="SimHei" w:eastAsia="SimHei" w:hAnsi="SimHei" w:hint="eastAsia"/>
          <w:b w:val="0"/>
          <w:bCs w:val="0"/>
          <w:noProof/>
          <w:sz w:val="21"/>
          <w:szCs w:val="21"/>
        </w:rPr>
        <w:t>、</w:t>
      </w:r>
      <w:r w:rsidRPr="00EA5ACD">
        <w:rPr>
          <w:rFonts w:ascii="SimHei" w:eastAsia="SimHei" w:hAnsi="SimHei"/>
          <w:b w:val="0"/>
          <w:bCs w:val="0"/>
          <w:noProof/>
          <w:sz w:val="21"/>
          <w:szCs w:val="21"/>
        </w:rPr>
        <w:t>产权组织应成员国要求向其提供的援助</w:t>
      </w:r>
    </w:p>
    <w:p w14:paraId="47FD79EC" w14:textId="77777777" w:rsidR="0027157B" w:rsidRDefault="002F0718" w:rsidP="00E14274">
      <w:pPr>
        <w:pStyle w:val="ListParagraph"/>
        <w:numPr>
          <w:ilvl w:val="0"/>
          <w:numId w:val="20"/>
        </w:numPr>
        <w:overflowPunct w:val="0"/>
        <w:spacing w:afterLines="50" w:after="120" w:line="340" w:lineRule="atLeast"/>
        <w:ind w:left="0" w:firstLine="0"/>
        <w:contextualSpacing w:val="0"/>
        <w:jc w:val="both"/>
        <w:rPr>
          <w:rFonts w:ascii="SimSun" w:hAnsi="SimSun"/>
          <w:sz w:val="21"/>
          <w:szCs w:val="21"/>
        </w:rPr>
      </w:pPr>
      <w:r w:rsidRPr="00BE595B">
        <w:rPr>
          <w:rFonts w:ascii="SimSun" w:hAnsi="SimSun"/>
          <w:sz w:val="21"/>
          <w:szCs w:val="21"/>
        </w:rPr>
        <w:t>2023年期间，秘书处未收到成员国专门就实现可持续发展目标寻求援助的任何请求。</w:t>
      </w:r>
    </w:p>
    <w:p w14:paraId="5CDD4731" w14:textId="77777777" w:rsidR="002A674D" w:rsidRPr="00E14274" w:rsidRDefault="002F0718" w:rsidP="00E14274">
      <w:pPr>
        <w:pStyle w:val="ListParagraph"/>
        <w:overflowPunct w:val="0"/>
        <w:spacing w:before="720" w:afterLines="50" w:after="120" w:line="340" w:lineRule="atLeast"/>
        <w:ind w:left="5670"/>
        <w:contextualSpacing w:val="0"/>
        <w:jc w:val="both"/>
        <w:rPr>
          <w:rFonts w:ascii="KaiTi" w:eastAsia="KaiTi" w:hAnsi="KaiTi"/>
          <w:sz w:val="21"/>
          <w:szCs w:val="21"/>
        </w:rPr>
      </w:pPr>
      <w:r w:rsidRPr="00E14274">
        <w:rPr>
          <w:rFonts w:ascii="KaiTi" w:eastAsia="KaiTi" w:hAnsi="KaiTi"/>
          <w:sz w:val="21"/>
          <w:szCs w:val="21"/>
        </w:rPr>
        <w:t>[文件完]</w:t>
      </w:r>
    </w:p>
    <w:sectPr w:rsidR="002A674D" w:rsidRPr="00E14274">
      <w:headerReference w:type="even" r:id="rId83"/>
      <w:headerReference w:type="default" r:id="rId84"/>
      <w:footerReference w:type="even" r:id="rId85"/>
      <w:footerReference w:type="default" r:id="rId86"/>
      <w:headerReference w:type="first" r:id="rId87"/>
      <w:footerReference w:type="first" r:id="rId8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57B7" w14:textId="77777777" w:rsidR="002F0718" w:rsidRDefault="002F0718">
      <w:r>
        <w:separator/>
      </w:r>
    </w:p>
  </w:endnote>
  <w:endnote w:type="continuationSeparator" w:id="0">
    <w:p w14:paraId="7103AEF6" w14:textId="77777777" w:rsidR="002F0718" w:rsidRDefault="002F0718">
      <w:r>
        <w:separator/>
      </w:r>
    </w:p>
    <w:p w14:paraId="355C0748" w14:textId="77777777" w:rsidR="002F0718" w:rsidRDefault="002F0718">
      <w:pPr>
        <w:spacing w:after="60"/>
        <w:rPr>
          <w:sz w:val="17"/>
        </w:rPr>
      </w:pPr>
      <w:r>
        <w:rPr>
          <w:sz w:val="17"/>
        </w:rPr>
        <w:t>[</w:t>
      </w:r>
      <w:r>
        <w:rPr>
          <w:sz w:val="17"/>
        </w:rPr>
        <w:t>脚注接上页</w:t>
      </w:r>
      <w:r>
        <w:rPr>
          <w:sz w:val="17"/>
        </w:rPr>
        <w:t>]</w:t>
      </w:r>
    </w:p>
  </w:endnote>
  <w:endnote w:type="continuationNotice" w:id="1">
    <w:p w14:paraId="0467BE50" w14:textId="77777777" w:rsidR="002F0718" w:rsidRDefault="002F0718">
      <w:pPr>
        <w:spacing w:before="60"/>
        <w:jc w:val="right"/>
        <w:rPr>
          <w:sz w:val="17"/>
          <w:szCs w:val="17"/>
        </w:rPr>
      </w:pPr>
      <w:r>
        <w:rPr>
          <w:sz w:val="17"/>
          <w:szCs w:val="17"/>
        </w:rPr>
        <w:t>[</w:t>
      </w:r>
      <w:r>
        <w:rPr>
          <w:sz w:val="17"/>
          <w:szCs w:val="17"/>
        </w:rPr>
        <w:t>脚注转下页</w:t>
      </w:r>
      <w:r>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DD26" w14:textId="77777777" w:rsidR="00613487" w:rsidRDefault="00613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DD61" w14:textId="77777777" w:rsidR="00613487" w:rsidRDefault="00613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B771" w14:textId="77777777" w:rsidR="00613487" w:rsidRDefault="0061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B76D" w14:textId="77777777" w:rsidR="002F0718" w:rsidRDefault="002F0718">
      <w:r>
        <w:separator/>
      </w:r>
    </w:p>
  </w:footnote>
  <w:footnote w:type="continuationSeparator" w:id="0">
    <w:p w14:paraId="2E47CE56" w14:textId="77777777" w:rsidR="002F0718" w:rsidRDefault="002F0718">
      <w:r>
        <w:separator/>
      </w:r>
    </w:p>
    <w:p w14:paraId="13C39003" w14:textId="77777777" w:rsidR="002F0718" w:rsidRDefault="002F0718">
      <w:pPr>
        <w:spacing w:after="60"/>
        <w:rPr>
          <w:sz w:val="17"/>
          <w:szCs w:val="17"/>
        </w:rPr>
      </w:pPr>
      <w:r>
        <w:rPr>
          <w:sz w:val="17"/>
          <w:szCs w:val="17"/>
        </w:rPr>
        <w:t>[</w:t>
      </w:r>
      <w:r>
        <w:rPr>
          <w:sz w:val="17"/>
          <w:szCs w:val="17"/>
        </w:rPr>
        <w:t>脚注接上页</w:t>
      </w:r>
      <w:r>
        <w:rPr>
          <w:sz w:val="17"/>
          <w:szCs w:val="17"/>
        </w:rPr>
        <w:t>]</w:t>
      </w:r>
    </w:p>
  </w:footnote>
  <w:footnote w:type="continuationNotice" w:id="1">
    <w:p w14:paraId="3A5D93D8" w14:textId="77777777" w:rsidR="002F0718" w:rsidRDefault="002F0718">
      <w:pPr>
        <w:spacing w:before="60"/>
        <w:jc w:val="right"/>
        <w:rPr>
          <w:sz w:val="17"/>
          <w:szCs w:val="17"/>
        </w:rPr>
      </w:pPr>
      <w:r>
        <w:rPr>
          <w:sz w:val="17"/>
          <w:szCs w:val="17"/>
        </w:rPr>
        <w:t>[</w:t>
      </w:r>
      <w:r>
        <w:rPr>
          <w:sz w:val="17"/>
          <w:szCs w:val="17"/>
        </w:rPr>
        <w:t>脚注转下页</w:t>
      </w:r>
      <w:r>
        <w:rPr>
          <w:sz w:val="17"/>
          <w:szCs w:val="17"/>
        </w:rPr>
        <w:t>]</w:t>
      </w:r>
    </w:p>
  </w:footnote>
  <w:footnote w:id="2">
    <w:p w14:paraId="79AA279D" w14:textId="5999EA41" w:rsidR="002A674D" w:rsidRPr="00BE595B" w:rsidRDefault="002F0718" w:rsidP="00B83704">
      <w:pPr>
        <w:pStyle w:val="FootnoteText"/>
        <w:overflowPunct w:val="0"/>
        <w:jc w:val="both"/>
        <w:rPr>
          <w:rFonts w:ascii="SimSun" w:hAnsi="SimSun"/>
        </w:rPr>
      </w:pPr>
      <w:r w:rsidRPr="00BE595B">
        <w:rPr>
          <w:rStyle w:val="FootnoteReference"/>
          <w:rFonts w:ascii="SimSun" w:hAnsi="SimSun"/>
        </w:rPr>
        <w:footnoteRef/>
      </w:r>
      <w:r w:rsidRPr="00BE595B">
        <w:rPr>
          <w:rFonts w:ascii="SimSun" w:hAnsi="SimSun"/>
        </w:rPr>
        <w:t xml:space="preserve"> </w:t>
      </w:r>
      <w:r w:rsidR="00B83704">
        <w:rPr>
          <w:rFonts w:ascii="SimSun" w:hAnsi="SimSun"/>
        </w:rPr>
        <w:tab/>
      </w:r>
      <w:r w:rsidRPr="00BE595B">
        <w:rPr>
          <w:rFonts w:ascii="SimSun" w:hAnsi="SimSun"/>
        </w:rPr>
        <w:t>可持续发展目标及相关具体目标的清单可查阅：</w:t>
      </w:r>
      <w:hyperlink r:id="rId1" w:history="1">
        <w:r w:rsidRPr="00BE595B">
          <w:rPr>
            <w:rStyle w:val="Hyperlink"/>
            <w:rFonts w:ascii="SimSun" w:hAnsi="SimSun"/>
          </w:rPr>
          <w:t>https://sdgs.un.org/goals</w:t>
        </w:r>
      </w:hyperlink>
      <w:r w:rsidRPr="00BE595B">
        <w:rPr>
          <w:rFonts w:ascii="SimSun" w:hAnsi="SimSun"/>
        </w:rPr>
        <w:t>。</w:t>
      </w:r>
    </w:p>
  </w:footnote>
  <w:footnote w:id="3">
    <w:p w14:paraId="4997B7D3" w14:textId="00BC9543" w:rsidR="008B7D33" w:rsidRPr="00BE595B" w:rsidRDefault="008B7D33" w:rsidP="00B83704">
      <w:pPr>
        <w:pStyle w:val="FootnoteText"/>
        <w:overflowPunct w:val="0"/>
        <w:jc w:val="both"/>
        <w:rPr>
          <w:rFonts w:ascii="SimSun" w:hAnsi="SimSun"/>
        </w:rPr>
      </w:pPr>
      <w:r w:rsidRPr="00BE595B">
        <w:rPr>
          <w:rStyle w:val="FootnoteReference"/>
          <w:rFonts w:ascii="SimSun" w:hAnsi="SimSun"/>
        </w:rPr>
        <w:footnoteRef/>
      </w:r>
      <w:r w:rsidRPr="00BE595B">
        <w:rPr>
          <w:rFonts w:ascii="SimSun" w:hAnsi="SimSun"/>
        </w:rPr>
        <w:t xml:space="preserve"> </w:t>
      </w:r>
      <w:r w:rsidR="00B83704">
        <w:rPr>
          <w:rFonts w:ascii="SimSun" w:hAnsi="SimSun"/>
        </w:rPr>
        <w:tab/>
      </w:r>
      <w:r w:rsidRPr="00BE595B">
        <w:rPr>
          <w:rFonts w:ascii="SimSun" w:hAnsi="SimSun"/>
        </w:rPr>
        <w:t>有关产权组织COVID-19相关服务和支持的更多信息可查阅：</w:t>
      </w:r>
      <w:hyperlink r:id="rId2" w:history="1">
        <w:r w:rsidRPr="00BE595B">
          <w:rPr>
            <w:rStyle w:val="Hyperlink"/>
            <w:rFonts w:ascii="SimSun" w:hAnsi="SimSun"/>
          </w:rPr>
          <w:t>https://www.wipo.int/web/covid-19</w:t>
        </w:r>
      </w:hyperlink>
      <w:r w:rsidRPr="00BE595B">
        <w:rPr>
          <w:rFonts w:ascii="SimSun" w:hAnsi="SimSun"/>
        </w:rPr>
        <w:t>。</w:t>
      </w:r>
    </w:p>
  </w:footnote>
  <w:footnote w:id="4">
    <w:p w14:paraId="3463D726" w14:textId="5DB6D00E" w:rsidR="002A674D" w:rsidRPr="00BE595B" w:rsidRDefault="002F0718" w:rsidP="00B83704">
      <w:pPr>
        <w:pStyle w:val="FootnoteText"/>
        <w:overflowPunct w:val="0"/>
        <w:jc w:val="both"/>
        <w:rPr>
          <w:rFonts w:ascii="SimSun" w:hAnsi="SimSun"/>
        </w:rPr>
      </w:pPr>
      <w:r w:rsidRPr="00BE595B">
        <w:rPr>
          <w:rStyle w:val="FootnoteReference"/>
          <w:rFonts w:ascii="SimSun" w:hAnsi="SimSun"/>
        </w:rPr>
        <w:footnoteRef/>
      </w:r>
      <w:r w:rsidRPr="00BE595B">
        <w:rPr>
          <w:rFonts w:ascii="SimSun" w:hAnsi="SimSun"/>
        </w:rPr>
        <w:t xml:space="preserve"> </w:t>
      </w:r>
      <w:r w:rsidR="00B83704">
        <w:rPr>
          <w:rFonts w:ascii="SimSun" w:hAnsi="SimSun"/>
        </w:rPr>
        <w:tab/>
      </w:r>
      <w:r w:rsidRPr="00BE595B">
        <w:rPr>
          <w:rFonts w:ascii="SimSun" w:hAnsi="SimSun"/>
        </w:rPr>
        <w:t>IGC第四十三届会议要求秘书处组织三个虚拟活动。</w:t>
      </w:r>
    </w:p>
  </w:footnote>
  <w:footnote w:id="5">
    <w:p w14:paraId="75418DB1" w14:textId="49588313" w:rsidR="002A674D" w:rsidRPr="00BE595B" w:rsidRDefault="002F0718" w:rsidP="00B83704">
      <w:pPr>
        <w:pStyle w:val="FootnoteText"/>
        <w:overflowPunct w:val="0"/>
        <w:jc w:val="both"/>
        <w:rPr>
          <w:rFonts w:ascii="SimSun" w:hAnsi="SimSun"/>
        </w:rPr>
      </w:pPr>
      <w:r w:rsidRPr="00BE595B">
        <w:rPr>
          <w:rStyle w:val="FootnoteReference"/>
          <w:rFonts w:ascii="SimSun" w:hAnsi="SimSun"/>
        </w:rPr>
        <w:footnoteRef/>
      </w:r>
      <w:r w:rsidRPr="00BE595B">
        <w:rPr>
          <w:rFonts w:ascii="SimSun" w:hAnsi="SimSun"/>
        </w:rPr>
        <w:t xml:space="preserve"> </w:t>
      </w:r>
      <w:r w:rsidR="00B83704">
        <w:rPr>
          <w:rFonts w:ascii="SimSun" w:hAnsi="SimSun"/>
        </w:rPr>
        <w:tab/>
      </w:r>
      <w:r w:rsidRPr="00BE595B">
        <w:rPr>
          <w:rFonts w:ascii="SimSun" w:hAnsi="SimSun"/>
        </w:rPr>
        <w:t>2022年7月，产权组织成员国决定不晚于2024年召开一次外交会议，以缔结一项关于知识产权、遗传资源和遗传资源相关传统知识的国际法律文书。</w:t>
      </w:r>
    </w:p>
  </w:footnote>
  <w:footnote w:id="6">
    <w:p w14:paraId="23720CC5" w14:textId="7313F1F3" w:rsidR="002A674D" w:rsidRPr="00BE595B" w:rsidRDefault="002F0718" w:rsidP="00B83704">
      <w:pPr>
        <w:overflowPunct w:val="0"/>
        <w:spacing w:line="240" w:lineRule="exact"/>
        <w:jc w:val="both"/>
        <w:rPr>
          <w:rFonts w:ascii="SimSun" w:hAnsi="SimSun"/>
          <w:sz w:val="18"/>
          <w:szCs w:val="18"/>
        </w:rPr>
      </w:pPr>
      <w:r w:rsidRPr="00BE595B">
        <w:rPr>
          <w:rStyle w:val="FootnoteReference"/>
          <w:rFonts w:ascii="SimSun" w:hAnsi="SimSun"/>
          <w:sz w:val="18"/>
          <w:szCs w:val="18"/>
        </w:rPr>
        <w:footnoteRef/>
      </w:r>
      <w:r w:rsidRPr="00BE595B">
        <w:rPr>
          <w:rFonts w:ascii="SimSun" w:hAnsi="SimSun"/>
          <w:sz w:val="18"/>
          <w:szCs w:val="18"/>
        </w:rPr>
        <w:t xml:space="preserve"> </w:t>
      </w:r>
      <w:r w:rsidR="00B83704">
        <w:rPr>
          <w:rFonts w:ascii="SimSun" w:hAnsi="SimSun"/>
          <w:sz w:val="18"/>
          <w:szCs w:val="18"/>
        </w:rPr>
        <w:tab/>
      </w:r>
      <w:r w:rsidRPr="00BE595B">
        <w:rPr>
          <w:rFonts w:ascii="SimSun" w:hAnsi="SimSun"/>
          <w:sz w:val="18"/>
          <w:szCs w:val="18"/>
        </w:rPr>
        <w:t>为《京都议定书》下的清洁发展机制项目发放的核证减排量信用额符合联合国系统行政首长协调理事会为抵消联合国系统各组织的温室气体排放而制定的标准，所有发放的核证减排量信用额的2%被转移到《京都议定书》下设立的适应基金（AF），以便从特别容易受到气候变化不利影响的发展中国家的具体适应项目和计划获得收益和为其提供资金。《联合国气候变化框架公约》致力于促进联合国系统各组织实现气候中立的工作，并与作为适应基金受托人的国际复兴开发银行谈判达成长期协议，购买适应基金的核证减排量信用额，然后在</w:t>
      </w:r>
      <w:r w:rsidRPr="00AD1FC6">
        <w:rPr>
          <w:rFonts w:asciiTheme="minorEastAsia" w:eastAsiaTheme="minorEastAsia" w:hAnsiTheme="minorEastAsia"/>
          <w:sz w:val="18"/>
          <w:szCs w:val="18"/>
        </w:rPr>
        <w:t>“兑付”时“抵消”</w:t>
      </w:r>
      <w:r w:rsidRPr="00BE595B">
        <w:rPr>
          <w:rFonts w:ascii="SimSun" w:hAnsi="SimSun"/>
          <w:sz w:val="18"/>
          <w:szCs w:val="18"/>
        </w:rPr>
        <w:t>（在其背景下使用的术语）。为了补偿其不可避免的排放（由建筑物和差旅造成），产权组织通过批量购买这种核证减排量信用额，并根据计算的排放量每年使用，直到批量使用完毕。《联合国气候变化框架公约》每年应产权组织的要求，证明相当于产权组织根据联合国温室气体清单原则报告的相应年份的年度温室气体排放总量已被抵消，直到这些年度总量达到本协议规定的“抵消”的核证减排量信用额。</w:t>
      </w:r>
    </w:p>
  </w:footnote>
  <w:footnote w:id="7">
    <w:p w14:paraId="5FD0AC95" w14:textId="63A95AF9" w:rsidR="002A674D" w:rsidRPr="00BE595B" w:rsidRDefault="002F0718" w:rsidP="00B83704">
      <w:pPr>
        <w:pStyle w:val="FootnoteText"/>
        <w:overflowPunct w:val="0"/>
        <w:jc w:val="both"/>
        <w:rPr>
          <w:rFonts w:ascii="SimSun" w:hAnsi="SimSun"/>
        </w:rPr>
      </w:pPr>
      <w:r w:rsidRPr="00BE595B">
        <w:rPr>
          <w:rStyle w:val="FootnoteReference"/>
          <w:rFonts w:ascii="SimSun" w:hAnsi="SimSun"/>
        </w:rPr>
        <w:footnoteRef/>
      </w:r>
      <w:r w:rsidRPr="00BE595B">
        <w:rPr>
          <w:rFonts w:ascii="SimSun" w:hAnsi="SimSun"/>
          <w:szCs w:val="22"/>
        </w:rPr>
        <w:t xml:space="preserve"> </w:t>
      </w:r>
      <w:r w:rsidR="00B83704">
        <w:rPr>
          <w:rFonts w:ascii="SimSun" w:hAnsi="SimSun"/>
          <w:szCs w:val="22"/>
        </w:rPr>
        <w:tab/>
      </w:r>
      <w:r w:rsidRPr="00BE595B">
        <w:rPr>
          <w:rFonts w:ascii="SimSun" w:hAnsi="SimSun"/>
          <w:szCs w:val="22"/>
        </w:rPr>
        <w:t>见文件WO/GA/55/12，第309段。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09CC" w14:textId="77777777" w:rsidR="00613487" w:rsidRDefault="00613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068D" w14:textId="76E408B8" w:rsidR="002A674D" w:rsidRPr="00F9162B" w:rsidRDefault="002F0718">
    <w:pPr>
      <w:jc w:val="right"/>
      <w:rPr>
        <w:rFonts w:ascii="SimSun" w:hAnsi="SimSun"/>
        <w:caps/>
        <w:sz w:val="21"/>
      </w:rPr>
    </w:pPr>
    <w:bookmarkStart w:id="7" w:name="Code2"/>
    <w:bookmarkEnd w:id="7"/>
    <w:r w:rsidRPr="00F9162B">
      <w:rPr>
        <w:rFonts w:ascii="SimSun" w:hAnsi="SimSun"/>
        <w:caps/>
        <w:sz w:val="21"/>
      </w:rPr>
      <w:t>CDIP/32/</w:t>
    </w:r>
    <w:r w:rsidRPr="00F9162B">
      <w:rPr>
        <w:rFonts w:ascii="SimSun" w:hAnsi="SimSun"/>
        <w:sz w:val="21"/>
      </w:rPr>
      <w:t>3</w:t>
    </w:r>
  </w:p>
  <w:p w14:paraId="1C553A8A" w14:textId="6BF95BC7" w:rsidR="002A674D" w:rsidRPr="00F9162B" w:rsidRDefault="002F0718">
    <w:pPr>
      <w:jc w:val="right"/>
      <w:rPr>
        <w:rFonts w:ascii="SimSun" w:hAnsi="SimSun"/>
        <w:sz w:val="21"/>
      </w:rPr>
    </w:pPr>
    <w:r w:rsidRPr="00F9162B">
      <w:rPr>
        <w:rFonts w:ascii="SimSun" w:hAnsi="SimSun"/>
        <w:sz w:val="21"/>
      </w:rPr>
      <w:t>第</w:t>
    </w:r>
    <w:r w:rsidRPr="00F9162B">
      <w:rPr>
        <w:rFonts w:ascii="SimSun" w:hAnsi="SimSun"/>
        <w:sz w:val="21"/>
      </w:rPr>
      <w:fldChar w:fldCharType="begin"/>
    </w:r>
    <w:r w:rsidRPr="00F9162B">
      <w:rPr>
        <w:rFonts w:ascii="SimSun" w:hAnsi="SimSun"/>
        <w:sz w:val="21"/>
      </w:rPr>
      <w:instrText xml:space="preserve"> PAGE  \* MERGEFORMAT </w:instrText>
    </w:r>
    <w:r w:rsidRPr="00F9162B">
      <w:rPr>
        <w:rFonts w:ascii="SimSun" w:hAnsi="SimSun"/>
        <w:sz w:val="21"/>
      </w:rPr>
      <w:fldChar w:fldCharType="separate"/>
    </w:r>
    <w:r w:rsidRPr="00F9162B">
      <w:rPr>
        <w:rFonts w:ascii="SimSun" w:hAnsi="SimSun"/>
        <w:sz w:val="21"/>
      </w:rPr>
      <w:t>21</w:t>
    </w:r>
    <w:r w:rsidRPr="00F9162B">
      <w:rPr>
        <w:rFonts w:ascii="SimSun" w:hAnsi="SimSun"/>
        <w:sz w:val="21"/>
      </w:rPr>
      <w:fldChar w:fldCharType="end"/>
    </w:r>
    <w:r w:rsidR="00F351BA" w:rsidRPr="00F9162B">
      <w:rPr>
        <w:rFonts w:ascii="SimSun" w:hAnsi="SimSun"/>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776A" w14:textId="77777777" w:rsidR="00613487" w:rsidRDefault="0061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A6E434E"/>
    <w:multiLevelType w:val="hybridMultilevel"/>
    <w:tmpl w:val="6ED2F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9281728"/>
    <w:multiLevelType w:val="hybridMultilevel"/>
    <w:tmpl w:val="555E8BFC"/>
    <w:lvl w:ilvl="0" w:tplc="5C1401D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43320"/>
    <w:multiLevelType w:val="hybridMultilevel"/>
    <w:tmpl w:val="66FC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E2EA4"/>
    <w:multiLevelType w:val="hybridMultilevel"/>
    <w:tmpl w:val="1A50BCE4"/>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126DA"/>
    <w:multiLevelType w:val="hybridMultilevel"/>
    <w:tmpl w:val="D8DCEC7E"/>
    <w:lvl w:ilvl="0" w:tplc="0409000B">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3215126E"/>
    <w:multiLevelType w:val="hybridMultilevel"/>
    <w:tmpl w:val="77CA0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4326A"/>
    <w:multiLevelType w:val="hybridMultilevel"/>
    <w:tmpl w:val="C412669A"/>
    <w:lvl w:ilvl="0" w:tplc="0A8E3A8E">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77971"/>
    <w:multiLevelType w:val="hybridMultilevel"/>
    <w:tmpl w:val="B224A42E"/>
    <w:lvl w:ilvl="0" w:tplc="B12ECA6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373CE"/>
    <w:multiLevelType w:val="hybridMultilevel"/>
    <w:tmpl w:val="E5FA3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2B24F2"/>
    <w:multiLevelType w:val="hybridMultilevel"/>
    <w:tmpl w:val="08809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417BE"/>
    <w:multiLevelType w:val="hybridMultilevel"/>
    <w:tmpl w:val="FFC0F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63137"/>
    <w:multiLevelType w:val="hybridMultilevel"/>
    <w:tmpl w:val="7B3E9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52AD8"/>
    <w:multiLevelType w:val="hybridMultilevel"/>
    <w:tmpl w:val="98D0F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C5598"/>
    <w:multiLevelType w:val="hybridMultilevel"/>
    <w:tmpl w:val="5B12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A79D4"/>
    <w:multiLevelType w:val="hybridMultilevel"/>
    <w:tmpl w:val="D6064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A3A8C"/>
    <w:multiLevelType w:val="hybridMultilevel"/>
    <w:tmpl w:val="F6FCBA82"/>
    <w:lvl w:ilvl="0" w:tplc="7932124E">
      <w:start w:val="1"/>
      <w:numFmt w:val="upperRoman"/>
      <w:lvlText w:val="%1."/>
      <w:lvlJc w:val="left"/>
      <w:pPr>
        <w:ind w:left="1287" w:hanging="360"/>
      </w:pPr>
      <w:rPr>
        <w:rFonts w:hint="default"/>
      </w:rPr>
    </w:lvl>
    <w:lvl w:ilvl="1" w:tplc="04090019">
      <w:start w:val="1"/>
      <w:numFmt w:val="lowerLetter"/>
      <w:lvlText w:val="%2."/>
      <w:lvlJc w:val="left"/>
      <w:pPr>
        <w:ind w:left="2007" w:hanging="360"/>
      </w:pPr>
    </w:lvl>
    <w:lvl w:ilvl="2" w:tplc="B3DEFB78">
      <w:numFmt w:val="bullet"/>
      <w:lvlText w:val="-"/>
      <w:lvlJc w:val="left"/>
      <w:pPr>
        <w:ind w:left="3117" w:hanging="570"/>
      </w:pPr>
      <w:rPr>
        <w:rFonts w:ascii="Arial" w:eastAsia="SimSun" w:hAnsi="Arial" w:cs="Arial"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F483184"/>
    <w:multiLevelType w:val="hybridMultilevel"/>
    <w:tmpl w:val="AB64A626"/>
    <w:lvl w:ilvl="0" w:tplc="09C0487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96569">
    <w:abstractNumId w:val="11"/>
  </w:num>
  <w:num w:numId="2" w16cid:durableId="645204714">
    <w:abstractNumId w:val="0"/>
  </w:num>
  <w:num w:numId="3" w16cid:durableId="441848115">
    <w:abstractNumId w:val="2"/>
  </w:num>
  <w:num w:numId="4" w16cid:durableId="97986388">
    <w:abstractNumId w:val="5"/>
  </w:num>
  <w:num w:numId="5" w16cid:durableId="1795830460">
    <w:abstractNumId w:val="6"/>
  </w:num>
  <w:num w:numId="6" w16cid:durableId="1925845286">
    <w:abstractNumId w:val="7"/>
  </w:num>
  <w:num w:numId="7" w16cid:durableId="529613628">
    <w:abstractNumId w:val="14"/>
  </w:num>
  <w:num w:numId="8" w16cid:durableId="768238765">
    <w:abstractNumId w:val="16"/>
  </w:num>
  <w:num w:numId="9" w16cid:durableId="1599755321">
    <w:abstractNumId w:val="13"/>
  </w:num>
  <w:num w:numId="10" w16cid:durableId="935985688">
    <w:abstractNumId w:val="4"/>
  </w:num>
  <w:num w:numId="11" w16cid:durableId="1590892916">
    <w:abstractNumId w:val="10"/>
  </w:num>
  <w:num w:numId="12" w16cid:durableId="915744703">
    <w:abstractNumId w:val="1"/>
  </w:num>
  <w:num w:numId="13" w16cid:durableId="772436568">
    <w:abstractNumId w:val="18"/>
  </w:num>
  <w:num w:numId="14" w16cid:durableId="1005279590">
    <w:abstractNumId w:val="12"/>
  </w:num>
  <w:num w:numId="15" w16cid:durableId="665549944">
    <w:abstractNumId w:val="15"/>
  </w:num>
  <w:num w:numId="16" w16cid:durableId="1295796918">
    <w:abstractNumId w:val="17"/>
  </w:num>
  <w:num w:numId="17" w16cid:durableId="815994835">
    <w:abstractNumId w:val="8"/>
  </w:num>
  <w:num w:numId="18" w16cid:durableId="178592268">
    <w:abstractNumId w:val="19"/>
  </w:num>
  <w:num w:numId="19" w16cid:durableId="1853454765">
    <w:abstractNumId w:val="3"/>
  </w:num>
  <w:num w:numId="20" w16cid:durableId="103450171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6F"/>
    <w:rsid w:val="00003377"/>
    <w:rsid w:val="00004609"/>
    <w:rsid w:val="00004BE2"/>
    <w:rsid w:val="00004F00"/>
    <w:rsid w:val="000051EB"/>
    <w:rsid w:val="00006CC0"/>
    <w:rsid w:val="000100D8"/>
    <w:rsid w:val="00010154"/>
    <w:rsid w:val="000106BC"/>
    <w:rsid w:val="00011015"/>
    <w:rsid w:val="000117B9"/>
    <w:rsid w:val="00011A60"/>
    <w:rsid w:val="00011BD3"/>
    <w:rsid w:val="00011BE5"/>
    <w:rsid w:val="00012F3F"/>
    <w:rsid w:val="00013198"/>
    <w:rsid w:val="00013600"/>
    <w:rsid w:val="00013F89"/>
    <w:rsid w:val="00014B5C"/>
    <w:rsid w:val="00015283"/>
    <w:rsid w:val="00015E2F"/>
    <w:rsid w:val="000168B6"/>
    <w:rsid w:val="00016A7D"/>
    <w:rsid w:val="00016E62"/>
    <w:rsid w:val="0001781E"/>
    <w:rsid w:val="0002019A"/>
    <w:rsid w:val="0002069F"/>
    <w:rsid w:val="000206AC"/>
    <w:rsid w:val="00020A5E"/>
    <w:rsid w:val="00021146"/>
    <w:rsid w:val="00024671"/>
    <w:rsid w:val="000247C3"/>
    <w:rsid w:val="00025BB8"/>
    <w:rsid w:val="000265D2"/>
    <w:rsid w:val="000268EB"/>
    <w:rsid w:val="00027795"/>
    <w:rsid w:val="00031B14"/>
    <w:rsid w:val="00032804"/>
    <w:rsid w:val="00033474"/>
    <w:rsid w:val="00035DC0"/>
    <w:rsid w:val="00036F38"/>
    <w:rsid w:val="00036F66"/>
    <w:rsid w:val="000402BC"/>
    <w:rsid w:val="000406F8"/>
    <w:rsid w:val="000418F4"/>
    <w:rsid w:val="0004191B"/>
    <w:rsid w:val="000429B9"/>
    <w:rsid w:val="00043413"/>
    <w:rsid w:val="00043CAA"/>
    <w:rsid w:val="00044E28"/>
    <w:rsid w:val="00045B34"/>
    <w:rsid w:val="000462D7"/>
    <w:rsid w:val="000467C5"/>
    <w:rsid w:val="00046AFC"/>
    <w:rsid w:val="0004716D"/>
    <w:rsid w:val="00047E7A"/>
    <w:rsid w:val="00051C11"/>
    <w:rsid w:val="00052FEF"/>
    <w:rsid w:val="00053132"/>
    <w:rsid w:val="00054EEC"/>
    <w:rsid w:val="00055E23"/>
    <w:rsid w:val="00056816"/>
    <w:rsid w:val="000568B3"/>
    <w:rsid w:val="000604AB"/>
    <w:rsid w:val="00063BCB"/>
    <w:rsid w:val="00065553"/>
    <w:rsid w:val="000664CB"/>
    <w:rsid w:val="00066CA3"/>
    <w:rsid w:val="0006766C"/>
    <w:rsid w:val="00067AAC"/>
    <w:rsid w:val="00067ED2"/>
    <w:rsid w:val="000701A1"/>
    <w:rsid w:val="000702A8"/>
    <w:rsid w:val="000707A5"/>
    <w:rsid w:val="00071C72"/>
    <w:rsid w:val="00072285"/>
    <w:rsid w:val="00072631"/>
    <w:rsid w:val="00075432"/>
    <w:rsid w:val="0007579E"/>
    <w:rsid w:val="00076298"/>
    <w:rsid w:val="000777B0"/>
    <w:rsid w:val="00077DB6"/>
    <w:rsid w:val="00080672"/>
    <w:rsid w:val="00080B10"/>
    <w:rsid w:val="00080DC2"/>
    <w:rsid w:val="00081E5D"/>
    <w:rsid w:val="00082B49"/>
    <w:rsid w:val="000842FF"/>
    <w:rsid w:val="0008431D"/>
    <w:rsid w:val="00085708"/>
    <w:rsid w:val="00085D75"/>
    <w:rsid w:val="0008603C"/>
    <w:rsid w:val="000869F5"/>
    <w:rsid w:val="00086F0F"/>
    <w:rsid w:val="000906C4"/>
    <w:rsid w:val="000913EC"/>
    <w:rsid w:val="00091630"/>
    <w:rsid w:val="00091826"/>
    <w:rsid w:val="00091957"/>
    <w:rsid w:val="00092292"/>
    <w:rsid w:val="00092939"/>
    <w:rsid w:val="00093685"/>
    <w:rsid w:val="00093911"/>
    <w:rsid w:val="000941D3"/>
    <w:rsid w:val="00094ADE"/>
    <w:rsid w:val="0009580A"/>
    <w:rsid w:val="00095F94"/>
    <w:rsid w:val="000968ED"/>
    <w:rsid w:val="00096A3A"/>
    <w:rsid w:val="00097356"/>
    <w:rsid w:val="0009775B"/>
    <w:rsid w:val="000A016A"/>
    <w:rsid w:val="000A1B7A"/>
    <w:rsid w:val="000A2AC6"/>
    <w:rsid w:val="000A3B1C"/>
    <w:rsid w:val="000A3D97"/>
    <w:rsid w:val="000A5664"/>
    <w:rsid w:val="000A6CC9"/>
    <w:rsid w:val="000A6DB8"/>
    <w:rsid w:val="000B06BA"/>
    <w:rsid w:val="000B077F"/>
    <w:rsid w:val="000B1F2C"/>
    <w:rsid w:val="000B300F"/>
    <w:rsid w:val="000B3D31"/>
    <w:rsid w:val="000B5299"/>
    <w:rsid w:val="000B5F24"/>
    <w:rsid w:val="000B6115"/>
    <w:rsid w:val="000B68EC"/>
    <w:rsid w:val="000B7EBB"/>
    <w:rsid w:val="000C0744"/>
    <w:rsid w:val="000C0CBC"/>
    <w:rsid w:val="000C0E14"/>
    <w:rsid w:val="000C1401"/>
    <w:rsid w:val="000C1DAC"/>
    <w:rsid w:val="000C5359"/>
    <w:rsid w:val="000C56C7"/>
    <w:rsid w:val="000C5AD9"/>
    <w:rsid w:val="000C640C"/>
    <w:rsid w:val="000C754A"/>
    <w:rsid w:val="000D0151"/>
    <w:rsid w:val="000D15A1"/>
    <w:rsid w:val="000D27E8"/>
    <w:rsid w:val="000D2B80"/>
    <w:rsid w:val="000D3829"/>
    <w:rsid w:val="000D3F4E"/>
    <w:rsid w:val="000D41B8"/>
    <w:rsid w:val="000D4327"/>
    <w:rsid w:val="000D44E5"/>
    <w:rsid w:val="000D4ABD"/>
    <w:rsid w:val="000D4E1B"/>
    <w:rsid w:val="000D5203"/>
    <w:rsid w:val="000D5773"/>
    <w:rsid w:val="000D5B1A"/>
    <w:rsid w:val="000D75E0"/>
    <w:rsid w:val="000E6D9F"/>
    <w:rsid w:val="000E7096"/>
    <w:rsid w:val="000E7123"/>
    <w:rsid w:val="000E723B"/>
    <w:rsid w:val="000F08BF"/>
    <w:rsid w:val="000F1E53"/>
    <w:rsid w:val="000F3472"/>
    <w:rsid w:val="000F3861"/>
    <w:rsid w:val="000F3C82"/>
    <w:rsid w:val="000F3FC5"/>
    <w:rsid w:val="000F4431"/>
    <w:rsid w:val="000F49F1"/>
    <w:rsid w:val="000F5E56"/>
    <w:rsid w:val="000F5F1D"/>
    <w:rsid w:val="000F65DB"/>
    <w:rsid w:val="000F68B1"/>
    <w:rsid w:val="000F6C20"/>
    <w:rsid w:val="000F6DC6"/>
    <w:rsid w:val="00100E21"/>
    <w:rsid w:val="00101357"/>
    <w:rsid w:val="00102060"/>
    <w:rsid w:val="00103B93"/>
    <w:rsid w:val="00105402"/>
    <w:rsid w:val="001054A8"/>
    <w:rsid w:val="00105A95"/>
    <w:rsid w:val="001073E3"/>
    <w:rsid w:val="001079F0"/>
    <w:rsid w:val="00110B05"/>
    <w:rsid w:val="00112435"/>
    <w:rsid w:val="00112990"/>
    <w:rsid w:val="00113465"/>
    <w:rsid w:val="00113596"/>
    <w:rsid w:val="00113A72"/>
    <w:rsid w:val="00113EEA"/>
    <w:rsid w:val="001157B1"/>
    <w:rsid w:val="00116C8B"/>
    <w:rsid w:val="001176C5"/>
    <w:rsid w:val="00117823"/>
    <w:rsid w:val="00121AE6"/>
    <w:rsid w:val="001225A5"/>
    <w:rsid w:val="00125050"/>
    <w:rsid w:val="00125456"/>
    <w:rsid w:val="00125723"/>
    <w:rsid w:val="00125AC5"/>
    <w:rsid w:val="00126F57"/>
    <w:rsid w:val="00130685"/>
    <w:rsid w:val="001306CC"/>
    <w:rsid w:val="00130716"/>
    <w:rsid w:val="00130C95"/>
    <w:rsid w:val="00131055"/>
    <w:rsid w:val="0013284C"/>
    <w:rsid w:val="00132CE9"/>
    <w:rsid w:val="0013352A"/>
    <w:rsid w:val="0013423D"/>
    <w:rsid w:val="001342B0"/>
    <w:rsid w:val="0013468F"/>
    <w:rsid w:val="00134D90"/>
    <w:rsid w:val="001362EE"/>
    <w:rsid w:val="00137210"/>
    <w:rsid w:val="00137BFD"/>
    <w:rsid w:val="00137CAE"/>
    <w:rsid w:val="0014025C"/>
    <w:rsid w:val="00143A84"/>
    <w:rsid w:val="001442B7"/>
    <w:rsid w:val="00144A6F"/>
    <w:rsid w:val="00144D1A"/>
    <w:rsid w:val="00145028"/>
    <w:rsid w:val="001452BF"/>
    <w:rsid w:val="0014662A"/>
    <w:rsid w:val="00146910"/>
    <w:rsid w:val="0015035F"/>
    <w:rsid w:val="0015044E"/>
    <w:rsid w:val="001520CE"/>
    <w:rsid w:val="00152255"/>
    <w:rsid w:val="001525D9"/>
    <w:rsid w:val="00153F63"/>
    <w:rsid w:val="001541B7"/>
    <w:rsid w:val="00154FA1"/>
    <w:rsid w:val="00155F6D"/>
    <w:rsid w:val="00157574"/>
    <w:rsid w:val="00157BF8"/>
    <w:rsid w:val="001600F2"/>
    <w:rsid w:val="00160BA3"/>
    <w:rsid w:val="00161DED"/>
    <w:rsid w:val="001620ED"/>
    <w:rsid w:val="001624DE"/>
    <w:rsid w:val="001629BF"/>
    <w:rsid w:val="00163614"/>
    <w:rsid w:val="00163EAD"/>
    <w:rsid w:val="001647D5"/>
    <w:rsid w:val="00164A42"/>
    <w:rsid w:val="001651D3"/>
    <w:rsid w:val="001660C6"/>
    <w:rsid w:val="0016626F"/>
    <w:rsid w:val="001703EA"/>
    <w:rsid w:val="00171849"/>
    <w:rsid w:val="00171860"/>
    <w:rsid w:val="00171BE4"/>
    <w:rsid w:val="00173C51"/>
    <w:rsid w:val="00180107"/>
    <w:rsid w:val="00180155"/>
    <w:rsid w:val="00181FD4"/>
    <w:rsid w:val="00182301"/>
    <w:rsid w:val="00182F7D"/>
    <w:rsid w:val="001832A6"/>
    <w:rsid w:val="001832EB"/>
    <w:rsid w:val="001846F5"/>
    <w:rsid w:val="00184F95"/>
    <w:rsid w:val="00185C5A"/>
    <w:rsid w:val="00187CAA"/>
    <w:rsid w:val="00190740"/>
    <w:rsid w:val="00190803"/>
    <w:rsid w:val="001912C1"/>
    <w:rsid w:val="00192323"/>
    <w:rsid w:val="001935C1"/>
    <w:rsid w:val="00194D70"/>
    <w:rsid w:val="00196007"/>
    <w:rsid w:val="001970AB"/>
    <w:rsid w:val="0019737F"/>
    <w:rsid w:val="00197919"/>
    <w:rsid w:val="001A09B5"/>
    <w:rsid w:val="001A148E"/>
    <w:rsid w:val="001A1F27"/>
    <w:rsid w:val="001A4D1B"/>
    <w:rsid w:val="001A5030"/>
    <w:rsid w:val="001A5A87"/>
    <w:rsid w:val="001A5E38"/>
    <w:rsid w:val="001A6ADC"/>
    <w:rsid w:val="001A7D4E"/>
    <w:rsid w:val="001B0BC1"/>
    <w:rsid w:val="001B1B89"/>
    <w:rsid w:val="001B3AD1"/>
    <w:rsid w:val="001B557C"/>
    <w:rsid w:val="001B5590"/>
    <w:rsid w:val="001B5C0A"/>
    <w:rsid w:val="001B5FDE"/>
    <w:rsid w:val="001B70BA"/>
    <w:rsid w:val="001B7665"/>
    <w:rsid w:val="001B7EE1"/>
    <w:rsid w:val="001C0A0E"/>
    <w:rsid w:val="001C1819"/>
    <w:rsid w:val="001C1843"/>
    <w:rsid w:val="001C27DF"/>
    <w:rsid w:val="001C27FC"/>
    <w:rsid w:val="001C2C0B"/>
    <w:rsid w:val="001C2E56"/>
    <w:rsid w:val="001C3111"/>
    <w:rsid w:val="001C45CD"/>
    <w:rsid w:val="001C4821"/>
    <w:rsid w:val="001C4EEF"/>
    <w:rsid w:val="001C4F34"/>
    <w:rsid w:val="001C6478"/>
    <w:rsid w:val="001C67A7"/>
    <w:rsid w:val="001C6ACD"/>
    <w:rsid w:val="001C7D8A"/>
    <w:rsid w:val="001D0AD2"/>
    <w:rsid w:val="001D18E5"/>
    <w:rsid w:val="001D208B"/>
    <w:rsid w:val="001D4107"/>
    <w:rsid w:val="001E13B5"/>
    <w:rsid w:val="001E1785"/>
    <w:rsid w:val="001E3491"/>
    <w:rsid w:val="001E4039"/>
    <w:rsid w:val="001E44D5"/>
    <w:rsid w:val="001E495D"/>
    <w:rsid w:val="001E4AB5"/>
    <w:rsid w:val="001E5D0B"/>
    <w:rsid w:val="001E7E6E"/>
    <w:rsid w:val="001F0B4A"/>
    <w:rsid w:val="001F1652"/>
    <w:rsid w:val="001F3682"/>
    <w:rsid w:val="001F468B"/>
    <w:rsid w:val="001F55DF"/>
    <w:rsid w:val="001F57E7"/>
    <w:rsid w:val="001F79C7"/>
    <w:rsid w:val="00200EE3"/>
    <w:rsid w:val="002015C6"/>
    <w:rsid w:val="002027C8"/>
    <w:rsid w:val="00202CC7"/>
    <w:rsid w:val="00203412"/>
    <w:rsid w:val="00203D24"/>
    <w:rsid w:val="002052E9"/>
    <w:rsid w:val="0020591A"/>
    <w:rsid w:val="00205BC1"/>
    <w:rsid w:val="00207456"/>
    <w:rsid w:val="00210F27"/>
    <w:rsid w:val="00211ED4"/>
    <w:rsid w:val="00211FF9"/>
    <w:rsid w:val="0021217E"/>
    <w:rsid w:val="002129C7"/>
    <w:rsid w:val="00213D44"/>
    <w:rsid w:val="00213E56"/>
    <w:rsid w:val="00214417"/>
    <w:rsid w:val="002168AF"/>
    <w:rsid w:val="00216B30"/>
    <w:rsid w:val="00216CE7"/>
    <w:rsid w:val="00220465"/>
    <w:rsid w:val="00221152"/>
    <w:rsid w:val="00223DB2"/>
    <w:rsid w:val="002242D9"/>
    <w:rsid w:val="00224852"/>
    <w:rsid w:val="00224AC3"/>
    <w:rsid w:val="00224CF0"/>
    <w:rsid w:val="00225346"/>
    <w:rsid w:val="002257FD"/>
    <w:rsid w:val="002303A1"/>
    <w:rsid w:val="002303FA"/>
    <w:rsid w:val="00230E3B"/>
    <w:rsid w:val="00231526"/>
    <w:rsid w:val="00231E18"/>
    <w:rsid w:val="002326AB"/>
    <w:rsid w:val="00232FBE"/>
    <w:rsid w:val="00235A69"/>
    <w:rsid w:val="00236086"/>
    <w:rsid w:val="00237555"/>
    <w:rsid w:val="0024208B"/>
    <w:rsid w:val="0024266D"/>
    <w:rsid w:val="00242EF1"/>
    <w:rsid w:val="00243430"/>
    <w:rsid w:val="00243761"/>
    <w:rsid w:val="002458CF"/>
    <w:rsid w:val="002468E2"/>
    <w:rsid w:val="00247144"/>
    <w:rsid w:val="00252016"/>
    <w:rsid w:val="002532E2"/>
    <w:rsid w:val="002537E8"/>
    <w:rsid w:val="00254110"/>
    <w:rsid w:val="002541B2"/>
    <w:rsid w:val="00254F3A"/>
    <w:rsid w:val="00256E53"/>
    <w:rsid w:val="00260558"/>
    <w:rsid w:val="00260D23"/>
    <w:rsid w:val="00261D11"/>
    <w:rsid w:val="00262C5A"/>
    <w:rsid w:val="002634C4"/>
    <w:rsid w:val="002637D0"/>
    <w:rsid w:val="00263A3D"/>
    <w:rsid w:val="002640ED"/>
    <w:rsid w:val="00264BE1"/>
    <w:rsid w:val="00266255"/>
    <w:rsid w:val="00266DC6"/>
    <w:rsid w:val="002678A7"/>
    <w:rsid w:val="00267B7F"/>
    <w:rsid w:val="00267D55"/>
    <w:rsid w:val="0027157B"/>
    <w:rsid w:val="00271D1D"/>
    <w:rsid w:val="00272D99"/>
    <w:rsid w:val="002736FA"/>
    <w:rsid w:val="00274500"/>
    <w:rsid w:val="00274D76"/>
    <w:rsid w:val="0027524E"/>
    <w:rsid w:val="0027588B"/>
    <w:rsid w:val="00275F64"/>
    <w:rsid w:val="002762D3"/>
    <w:rsid w:val="002805D4"/>
    <w:rsid w:val="002808D6"/>
    <w:rsid w:val="00280FE2"/>
    <w:rsid w:val="0028228A"/>
    <w:rsid w:val="00283161"/>
    <w:rsid w:val="00283265"/>
    <w:rsid w:val="00283B75"/>
    <w:rsid w:val="00284282"/>
    <w:rsid w:val="002858DF"/>
    <w:rsid w:val="00286BC5"/>
    <w:rsid w:val="00287579"/>
    <w:rsid w:val="002875E2"/>
    <w:rsid w:val="00291331"/>
    <w:rsid w:val="00291997"/>
    <w:rsid w:val="0029222C"/>
    <w:rsid w:val="00292302"/>
    <w:rsid w:val="002928D3"/>
    <w:rsid w:val="00293547"/>
    <w:rsid w:val="00294B3F"/>
    <w:rsid w:val="002962A7"/>
    <w:rsid w:val="00296463"/>
    <w:rsid w:val="002969AA"/>
    <w:rsid w:val="002A0914"/>
    <w:rsid w:val="002A1912"/>
    <w:rsid w:val="002A1B83"/>
    <w:rsid w:val="002A3BFB"/>
    <w:rsid w:val="002A657A"/>
    <w:rsid w:val="002A674D"/>
    <w:rsid w:val="002A76EE"/>
    <w:rsid w:val="002A7AC7"/>
    <w:rsid w:val="002B070D"/>
    <w:rsid w:val="002B0F01"/>
    <w:rsid w:val="002B1583"/>
    <w:rsid w:val="002B416E"/>
    <w:rsid w:val="002B482B"/>
    <w:rsid w:val="002B54EC"/>
    <w:rsid w:val="002B7AE4"/>
    <w:rsid w:val="002B7E84"/>
    <w:rsid w:val="002C038D"/>
    <w:rsid w:val="002C1E81"/>
    <w:rsid w:val="002C21C9"/>
    <w:rsid w:val="002C3726"/>
    <w:rsid w:val="002C3C59"/>
    <w:rsid w:val="002C4621"/>
    <w:rsid w:val="002C52B0"/>
    <w:rsid w:val="002C6BA2"/>
    <w:rsid w:val="002C72FA"/>
    <w:rsid w:val="002C774E"/>
    <w:rsid w:val="002C7AE6"/>
    <w:rsid w:val="002D016F"/>
    <w:rsid w:val="002D0C56"/>
    <w:rsid w:val="002D0EEB"/>
    <w:rsid w:val="002D1290"/>
    <w:rsid w:val="002D21A2"/>
    <w:rsid w:val="002D2ACA"/>
    <w:rsid w:val="002D31B7"/>
    <w:rsid w:val="002D3561"/>
    <w:rsid w:val="002D3F20"/>
    <w:rsid w:val="002D4346"/>
    <w:rsid w:val="002D58DB"/>
    <w:rsid w:val="002D7578"/>
    <w:rsid w:val="002D79BA"/>
    <w:rsid w:val="002E1021"/>
    <w:rsid w:val="002E14FA"/>
    <w:rsid w:val="002E1F9F"/>
    <w:rsid w:val="002E290E"/>
    <w:rsid w:val="002E38A4"/>
    <w:rsid w:val="002E3C7F"/>
    <w:rsid w:val="002E503A"/>
    <w:rsid w:val="002E5BE8"/>
    <w:rsid w:val="002E5CBD"/>
    <w:rsid w:val="002E7B8E"/>
    <w:rsid w:val="002F0718"/>
    <w:rsid w:val="002F0CD4"/>
    <w:rsid w:val="002F1FE6"/>
    <w:rsid w:val="002F3A51"/>
    <w:rsid w:val="002F3DF1"/>
    <w:rsid w:val="002F454F"/>
    <w:rsid w:val="002F482A"/>
    <w:rsid w:val="002F4E68"/>
    <w:rsid w:val="002F69A8"/>
    <w:rsid w:val="002F704E"/>
    <w:rsid w:val="00301DD7"/>
    <w:rsid w:val="00304F26"/>
    <w:rsid w:val="00305AC3"/>
    <w:rsid w:val="00305E47"/>
    <w:rsid w:val="003060FA"/>
    <w:rsid w:val="00306114"/>
    <w:rsid w:val="00307302"/>
    <w:rsid w:val="00310012"/>
    <w:rsid w:val="0031023F"/>
    <w:rsid w:val="0031193E"/>
    <w:rsid w:val="00311E34"/>
    <w:rsid w:val="0031214A"/>
    <w:rsid w:val="00312F47"/>
    <w:rsid w:val="00312F7F"/>
    <w:rsid w:val="00313ECF"/>
    <w:rsid w:val="003155DB"/>
    <w:rsid w:val="003162BE"/>
    <w:rsid w:val="00316A5C"/>
    <w:rsid w:val="00321978"/>
    <w:rsid w:val="00323668"/>
    <w:rsid w:val="00325420"/>
    <w:rsid w:val="00327518"/>
    <w:rsid w:val="00327868"/>
    <w:rsid w:val="00330200"/>
    <w:rsid w:val="00330416"/>
    <w:rsid w:val="00330B0D"/>
    <w:rsid w:val="0033147D"/>
    <w:rsid w:val="00331735"/>
    <w:rsid w:val="00331A7E"/>
    <w:rsid w:val="00331E1F"/>
    <w:rsid w:val="00332AEA"/>
    <w:rsid w:val="0033371E"/>
    <w:rsid w:val="00333BE3"/>
    <w:rsid w:val="00335946"/>
    <w:rsid w:val="00336406"/>
    <w:rsid w:val="00336B3F"/>
    <w:rsid w:val="003371E8"/>
    <w:rsid w:val="003400CB"/>
    <w:rsid w:val="0034098E"/>
    <w:rsid w:val="00344498"/>
    <w:rsid w:val="00344903"/>
    <w:rsid w:val="0034537A"/>
    <w:rsid w:val="00346C0B"/>
    <w:rsid w:val="00347921"/>
    <w:rsid w:val="00350670"/>
    <w:rsid w:val="0035152D"/>
    <w:rsid w:val="003522BB"/>
    <w:rsid w:val="003549CA"/>
    <w:rsid w:val="0035554D"/>
    <w:rsid w:val="00355F31"/>
    <w:rsid w:val="003574C0"/>
    <w:rsid w:val="003576FD"/>
    <w:rsid w:val="00357980"/>
    <w:rsid w:val="00357A96"/>
    <w:rsid w:val="00360189"/>
    <w:rsid w:val="00360BD2"/>
    <w:rsid w:val="00361450"/>
    <w:rsid w:val="00361956"/>
    <w:rsid w:val="00362858"/>
    <w:rsid w:val="00362DE6"/>
    <w:rsid w:val="0036472A"/>
    <w:rsid w:val="00364EC9"/>
    <w:rsid w:val="0036628D"/>
    <w:rsid w:val="003673CF"/>
    <w:rsid w:val="00367599"/>
    <w:rsid w:val="00367CE2"/>
    <w:rsid w:val="00373170"/>
    <w:rsid w:val="00373933"/>
    <w:rsid w:val="00374646"/>
    <w:rsid w:val="00377C2B"/>
    <w:rsid w:val="00383F3D"/>
    <w:rsid w:val="003845C1"/>
    <w:rsid w:val="00385607"/>
    <w:rsid w:val="00385B36"/>
    <w:rsid w:val="00386317"/>
    <w:rsid w:val="003901B7"/>
    <w:rsid w:val="003924CD"/>
    <w:rsid w:val="00392A47"/>
    <w:rsid w:val="0039383B"/>
    <w:rsid w:val="003938FB"/>
    <w:rsid w:val="00395BA0"/>
    <w:rsid w:val="003974EA"/>
    <w:rsid w:val="003A0A19"/>
    <w:rsid w:val="003A120D"/>
    <w:rsid w:val="003A343D"/>
    <w:rsid w:val="003A555D"/>
    <w:rsid w:val="003A6B43"/>
    <w:rsid w:val="003A6F89"/>
    <w:rsid w:val="003B38C1"/>
    <w:rsid w:val="003B3FAE"/>
    <w:rsid w:val="003C1723"/>
    <w:rsid w:val="003C1CD1"/>
    <w:rsid w:val="003C28C7"/>
    <w:rsid w:val="003C34E9"/>
    <w:rsid w:val="003C4015"/>
    <w:rsid w:val="003C5C18"/>
    <w:rsid w:val="003C65CF"/>
    <w:rsid w:val="003C7A23"/>
    <w:rsid w:val="003D08F4"/>
    <w:rsid w:val="003D12A0"/>
    <w:rsid w:val="003D1C75"/>
    <w:rsid w:val="003D2213"/>
    <w:rsid w:val="003D2CE3"/>
    <w:rsid w:val="003D2DC5"/>
    <w:rsid w:val="003D37DA"/>
    <w:rsid w:val="003D4BAC"/>
    <w:rsid w:val="003D4BFC"/>
    <w:rsid w:val="003D5C9F"/>
    <w:rsid w:val="003D632D"/>
    <w:rsid w:val="003D7158"/>
    <w:rsid w:val="003D72FB"/>
    <w:rsid w:val="003D7666"/>
    <w:rsid w:val="003E1367"/>
    <w:rsid w:val="003E2257"/>
    <w:rsid w:val="003E24CC"/>
    <w:rsid w:val="003E35A2"/>
    <w:rsid w:val="003E47CC"/>
    <w:rsid w:val="003E5220"/>
    <w:rsid w:val="003E6ECC"/>
    <w:rsid w:val="003E7B5D"/>
    <w:rsid w:val="003F029A"/>
    <w:rsid w:val="003F1A8F"/>
    <w:rsid w:val="003F373E"/>
    <w:rsid w:val="003F5E34"/>
    <w:rsid w:val="003F7B27"/>
    <w:rsid w:val="003F7B75"/>
    <w:rsid w:val="00400101"/>
    <w:rsid w:val="00401480"/>
    <w:rsid w:val="00402F2A"/>
    <w:rsid w:val="00403ECB"/>
    <w:rsid w:val="00404BDF"/>
    <w:rsid w:val="004075F2"/>
    <w:rsid w:val="00410583"/>
    <w:rsid w:val="00410BF7"/>
    <w:rsid w:val="004115B2"/>
    <w:rsid w:val="0041171F"/>
    <w:rsid w:val="00411947"/>
    <w:rsid w:val="0041297A"/>
    <w:rsid w:val="00413787"/>
    <w:rsid w:val="00413E6A"/>
    <w:rsid w:val="00414332"/>
    <w:rsid w:val="0041443E"/>
    <w:rsid w:val="004156D3"/>
    <w:rsid w:val="004158DF"/>
    <w:rsid w:val="00415A81"/>
    <w:rsid w:val="00415BBC"/>
    <w:rsid w:val="00416C79"/>
    <w:rsid w:val="00417384"/>
    <w:rsid w:val="0041786B"/>
    <w:rsid w:val="0042015C"/>
    <w:rsid w:val="004204B2"/>
    <w:rsid w:val="0042179B"/>
    <w:rsid w:val="004217D9"/>
    <w:rsid w:val="004222E0"/>
    <w:rsid w:val="004234BF"/>
    <w:rsid w:val="00423697"/>
    <w:rsid w:val="00423E3E"/>
    <w:rsid w:val="004259BA"/>
    <w:rsid w:val="00425CA2"/>
    <w:rsid w:val="00425D3E"/>
    <w:rsid w:val="0042637D"/>
    <w:rsid w:val="00427AF4"/>
    <w:rsid w:val="0043036F"/>
    <w:rsid w:val="0043133A"/>
    <w:rsid w:val="00431518"/>
    <w:rsid w:val="00431690"/>
    <w:rsid w:val="004317AD"/>
    <w:rsid w:val="00431A42"/>
    <w:rsid w:val="00432B71"/>
    <w:rsid w:val="0043340F"/>
    <w:rsid w:val="00433470"/>
    <w:rsid w:val="0043424A"/>
    <w:rsid w:val="0043524D"/>
    <w:rsid w:val="00436A1D"/>
    <w:rsid w:val="004370BE"/>
    <w:rsid w:val="00437CC4"/>
    <w:rsid w:val="00437E7E"/>
    <w:rsid w:val="00443D15"/>
    <w:rsid w:val="00444F0D"/>
    <w:rsid w:val="004458FC"/>
    <w:rsid w:val="00445BC6"/>
    <w:rsid w:val="00445F20"/>
    <w:rsid w:val="004471F6"/>
    <w:rsid w:val="0044756E"/>
    <w:rsid w:val="00447587"/>
    <w:rsid w:val="004476CE"/>
    <w:rsid w:val="004515FB"/>
    <w:rsid w:val="00453BC9"/>
    <w:rsid w:val="00455EAA"/>
    <w:rsid w:val="00461428"/>
    <w:rsid w:val="00461474"/>
    <w:rsid w:val="00461ABD"/>
    <w:rsid w:val="00462CA9"/>
    <w:rsid w:val="004647DA"/>
    <w:rsid w:val="00465281"/>
    <w:rsid w:val="00465BDE"/>
    <w:rsid w:val="00466C3B"/>
    <w:rsid w:val="00466E69"/>
    <w:rsid w:val="004677BB"/>
    <w:rsid w:val="0047334A"/>
    <w:rsid w:val="00473D8F"/>
    <w:rsid w:val="00473E45"/>
    <w:rsid w:val="00473E79"/>
    <w:rsid w:val="00474062"/>
    <w:rsid w:val="00475581"/>
    <w:rsid w:val="004758A9"/>
    <w:rsid w:val="0047690A"/>
    <w:rsid w:val="0047719D"/>
    <w:rsid w:val="004775FB"/>
    <w:rsid w:val="00477D6B"/>
    <w:rsid w:val="00483A91"/>
    <w:rsid w:val="004849D3"/>
    <w:rsid w:val="004864B3"/>
    <w:rsid w:val="004870C0"/>
    <w:rsid w:val="00487426"/>
    <w:rsid w:val="00490133"/>
    <w:rsid w:val="004901C1"/>
    <w:rsid w:val="0049049F"/>
    <w:rsid w:val="00490EE9"/>
    <w:rsid w:val="00491B90"/>
    <w:rsid w:val="00493269"/>
    <w:rsid w:val="004933C9"/>
    <w:rsid w:val="00493894"/>
    <w:rsid w:val="00494C61"/>
    <w:rsid w:val="00494CEA"/>
    <w:rsid w:val="004968F0"/>
    <w:rsid w:val="00496D82"/>
    <w:rsid w:val="004A002E"/>
    <w:rsid w:val="004A1901"/>
    <w:rsid w:val="004A2B34"/>
    <w:rsid w:val="004A2BB3"/>
    <w:rsid w:val="004A49C3"/>
    <w:rsid w:val="004A69DF"/>
    <w:rsid w:val="004A724A"/>
    <w:rsid w:val="004A751B"/>
    <w:rsid w:val="004A7812"/>
    <w:rsid w:val="004B0343"/>
    <w:rsid w:val="004B0697"/>
    <w:rsid w:val="004B07FC"/>
    <w:rsid w:val="004B0A95"/>
    <w:rsid w:val="004B15B7"/>
    <w:rsid w:val="004B1C36"/>
    <w:rsid w:val="004B2519"/>
    <w:rsid w:val="004B416B"/>
    <w:rsid w:val="004B426E"/>
    <w:rsid w:val="004B44A6"/>
    <w:rsid w:val="004B4CB2"/>
    <w:rsid w:val="004B58CE"/>
    <w:rsid w:val="004B62EF"/>
    <w:rsid w:val="004B6792"/>
    <w:rsid w:val="004B6DD8"/>
    <w:rsid w:val="004B73BB"/>
    <w:rsid w:val="004C03EB"/>
    <w:rsid w:val="004C0579"/>
    <w:rsid w:val="004C1BCE"/>
    <w:rsid w:val="004C21A0"/>
    <w:rsid w:val="004C2BF6"/>
    <w:rsid w:val="004C2FAF"/>
    <w:rsid w:val="004C393D"/>
    <w:rsid w:val="004C4D02"/>
    <w:rsid w:val="004C79A5"/>
    <w:rsid w:val="004D0E57"/>
    <w:rsid w:val="004D0EC9"/>
    <w:rsid w:val="004D1035"/>
    <w:rsid w:val="004D1AA2"/>
    <w:rsid w:val="004D2476"/>
    <w:rsid w:val="004D2CAC"/>
    <w:rsid w:val="004D2CCE"/>
    <w:rsid w:val="004D45A5"/>
    <w:rsid w:val="004D5002"/>
    <w:rsid w:val="004D6902"/>
    <w:rsid w:val="004D6B26"/>
    <w:rsid w:val="004E1B85"/>
    <w:rsid w:val="004E21E0"/>
    <w:rsid w:val="004E27B5"/>
    <w:rsid w:val="004E2AFA"/>
    <w:rsid w:val="004E36FB"/>
    <w:rsid w:val="004E4AA6"/>
    <w:rsid w:val="004E66B5"/>
    <w:rsid w:val="004E68B7"/>
    <w:rsid w:val="004E69BA"/>
    <w:rsid w:val="004E789A"/>
    <w:rsid w:val="004F0630"/>
    <w:rsid w:val="004F1BE8"/>
    <w:rsid w:val="004F3044"/>
    <w:rsid w:val="004F3D66"/>
    <w:rsid w:val="004F4C6A"/>
    <w:rsid w:val="004F6AF3"/>
    <w:rsid w:val="004F7079"/>
    <w:rsid w:val="00500B79"/>
    <w:rsid w:val="005019FF"/>
    <w:rsid w:val="00504168"/>
    <w:rsid w:val="0050452D"/>
    <w:rsid w:val="00506B21"/>
    <w:rsid w:val="00506E12"/>
    <w:rsid w:val="00510B51"/>
    <w:rsid w:val="00512C42"/>
    <w:rsid w:val="00514390"/>
    <w:rsid w:val="0051448F"/>
    <w:rsid w:val="0051673B"/>
    <w:rsid w:val="00523888"/>
    <w:rsid w:val="005245ED"/>
    <w:rsid w:val="00526488"/>
    <w:rsid w:val="00526901"/>
    <w:rsid w:val="00527F9C"/>
    <w:rsid w:val="0053057A"/>
    <w:rsid w:val="00531F4C"/>
    <w:rsid w:val="00535230"/>
    <w:rsid w:val="00535EEE"/>
    <w:rsid w:val="005361F6"/>
    <w:rsid w:val="005364F2"/>
    <w:rsid w:val="00537A89"/>
    <w:rsid w:val="005402EA"/>
    <w:rsid w:val="00541085"/>
    <w:rsid w:val="00542366"/>
    <w:rsid w:val="0054505F"/>
    <w:rsid w:val="0054571D"/>
    <w:rsid w:val="00545E29"/>
    <w:rsid w:val="00545E77"/>
    <w:rsid w:val="0054685B"/>
    <w:rsid w:val="00547C54"/>
    <w:rsid w:val="005504F2"/>
    <w:rsid w:val="00550B81"/>
    <w:rsid w:val="00551256"/>
    <w:rsid w:val="00551866"/>
    <w:rsid w:val="005519CE"/>
    <w:rsid w:val="00552B61"/>
    <w:rsid w:val="0055411B"/>
    <w:rsid w:val="005544C2"/>
    <w:rsid w:val="005546A4"/>
    <w:rsid w:val="00554B1F"/>
    <w:rsid w:val="00554DCA"/>
    <w:rsid w:val="00556076"/>
    <w:rsid w:val="00556E4F"/>
    <w:rsid w:val="00560A29"/>
    <w:rsid w:val="00561B5A"/>
    <w:rsid w:val="00561BB6"/>
    <w:rsid w:val="00561C8E"/>
    <w:rsid w:val="00562291"/>
    <w:rsid w:val="00562D82"/>
    <w:rsid w:val="00562E3D"/>
    <w:rsid w:val="00562F95"/>
    <w:rsid w:val="00563AC7"/>
    <w:rsid w:val="00565D00"/>
    <w:rsid w:val="00566C56"/>
    <w:rsid w:val="0057030E"/>
    <w:rsid w:val="00570997"/>
    <w:rsid w:val="00570F8A"/>
    <w:rsid w:val="00571B93"/>
    <w:rsid w:val="00572217"/>
    <w:rsid w:val="005735D7"/>
    <w:rsid w:val="0057455E"/>
    <w:rsid w:val="005752BF"/>
    <w:rsid w:val="00575D9F"/>
    <w:rsid w:val="005774AC"/>
    <w:rsid w:val="00581A6B"/>
    <w:rsid w:val="00582F5D"/>
    <w:rsid w:val="005842F4"/>
    <w:rsid w:val="005848B5"/>
    <w:rsid w:val="00586149"/>
    <w:rsid w:val="00586471"/>
    <w:rsid w:val="005871B6"/>
    <w:rsid w:val="00590059"/>
    <w:rsid w:val="00590CF5"/>
    <w:rsid w:val="00591405"/>
    <w:rsid w:val="0059244D"/>
    <w:rsid w:val="00592DD9"/>
    <w:rsid w:val="005931F0"/>
    <w:rsid w:val="00595634"/>
    <w:rsid w:val="005959BF"/>
    <w:rsid w:val="00595BBD"/>
    <w:rsid w:val="00595E9C"/>
    <w:rsid w:val="00596815"/>
    <w:rsid w:val="00596B7B"/>
    <w:rsid w:val="005A104A"/>
    <w:rsid w:val="005A1C6F"/>
    <w:rsid w:val="005A615C"/>
    <w:rsid w:val="005A660E"/>
    <w:rsid w:val="005A66A0"/>
    <w:rsid w:val="005A6BED"/>
    <w:rsid w:val="005B01BA"/>
    <w:rsid w:val="005B0714"/>
    <w:rsid w:val="005B2606"/>
    <w:rsid w:val="005B370A"/>
    <w:rsid w:val="005B3A0F"/>
    <w:rsid w:val="005B3DB9"/>
    <w:rsid w:val="005B5898"/>
    <w:rsid w:val="005B63FA"/>
    <w:rsid w:val="005B766E"/>
    <w:rsid w:val="005C0B73"/>
    <w:rsid w:val="005C1606"/>
    <w:rsid w:val="005C1AE0"/>
    <w:rsid w:val="005C1EF1"/>
    <w:rsid w:val="005C2650"/>
    <w:rsid w:val="005C4184"/>
    <w:rsid w:val="005C4BF0"/>
    <w:rsid w:val="005C53CD"/>
    <w:rsid w:val="005C53EE"/>
    <w:rsid w:val="005C6649"/>
    <w:rsid w:val="005C681B"/>
    <w:rsid w:val="005C6CCE"/>
    <w:rsid w:val="005C7671"/>
    <w:rsid w:val="005C76AB"/>
    <w:rsid w:val="005D07CC"/>
    <w:rsid w:val="005D1585"/>
    <w:rsid w:val="005D2219"/>
    <w:rsid w:val="005D40ED"/>
    <w:rsid w:val="005D601B"/>
    <w:rsid w:val="005D7B70"/>
    <w:rsid w:val="005E0825"/>
    <w:rsid w:val="005E1597"/>
    <w:rsid w:val="005E1781"/>
    <w:rsid w:val="005E2EF6"/>
    <w:rsid w:val="005E3FFE"/>
    <w:rsid w:val="005E4680"/>
    <w:rsid w:val="005E61BA"/>
    <w:rsid w:val="005E669A"/>
    <w:rsid w:val="005E7FE7"/>
    <w:rsid w:val="005F0326"/>
    <w:rsid w:val="005F1745"/>
    <w:rsid w:val="005F17FA"/>
    <w:rsid w:val="005F1E15"/>
    <w:rsid w:val="005F24B9"/>
    <w:rsid w:val="005F2DC3"/>
    <w:rsid w:val="005F564A"/>
    <w:rsid w:val="005F5BAC"/>
    <w:rsid w:val="00600054"/>
    <w:rsid w:val="0060021A"/>
    <w:rsid w:val="0060035F"/>
    <w:rsid w:val="006006CA"/>
    <w:rsid w:val="00602CAE"/>
    <w:rsid w:val="0060311B"/>
    <w:rsid w:val="00605827"/>
    <w:rsid w:val="00606FD0"/>
    <w:rsid w:val="00607049"/>
    <w:rsid w:val="00607133"/>
    <w:rsid w:val="00607C1A"/>
    <w:rsid w:val="006114A9"/>
    <w:rsid w:val="00613487"/>
    <w:rsid w:val="00613AD2"/>
    <w:rsid w:val="006143D8"/>
    <w:rsid w:val="00614FCE"/>
    <w:rsid w:val="006167A0"/>
    <w:rsid w:val="00616D41"/>
    <w:rsid w:val="00624219"/>
    <w:rsid w:val="006245B5"/>
    <w:rsid w:val="00624AB8"/>
    <w:rsid w:val="00624F35"/>
    <w:rsid w:val="0063018D"/>
    <w:rsid w:val="00630AAD"/>
    <w:rsid w:val="00630B1A"/>
    <w:rsid w:val="00631EF4"/>
    <w:rsid w:val="00632A8F"/>
    <w:rsid w:val="006345C9"/>
    <w:rsid w:val="00635641"/>
    <w:rsid w:val="00635BC7"/>
    <w:rsid w:val="0063679A"/>
    <w:rsid w:val="00636930"/>
    <w:rsid w:val="0063697D"/>
    <w:rsid w:val="0063699F"/>
    <w:rsid w:val="00637399"/>
    <w:rsid w:val="00637C7B"/>
    <w:rsid w:val="00642A77"/>
    <w:rsid w:val="006440D1"/>
    <w:rsid w:val="00644195"/>
    <w:rsid w:val="006442FC"/>
    <w:rsid w:val="00644506"/>
    <w:rsid w:val="006446AE"/>
    <w:rsid w:val="00646050"/>
    <w:rsid w:val="00647C26"/>
    <w:rsid w:val="006513AA"/>
    <w:rsid w:val="00653D78"/>
    <w:rsid w:val="00653E08"/>
    <w:rsid w:val="00654086"/>
    <w:rsid w:val="00656B73"/>
    <w:rsid w:val="00657089"/>
    <w:rsid w:val="00657CDE"/>
    <w:rsid w:val="0066094F"/>
    <w:rsid w:val="00661610"/>
    <w:rsid w:val="00661C34"/>
    <w:rsid w:val="00661E4D"/>
    <w:rsid w:val="006623D3"/>
    <w:rsid w:val="00662520"/>
    <w:rsid w:val="00662AC3"/>
    <w:rsid w:val="00662BCF"/>
    <w:rsid w:val="00662E8E"/>
    <w:rsid w:val="00663E90"/>
    <w:rsid w:val="00664039"/>
    <w:rsid w:val="006646B8"/>
    <w:rsid w:val="00664E6C"/>
    <w:rsid w:val="006659B1"/>
    <w:rsid w:val="00667172"/>
    <w:rsid w:val="00667CA7"/>
    <w:rsid w:val="0067046D"/>
    <w:rsid w:val="00670C65"/>
    <w:rsid w:val="006713CA"/>
    <w:rsid w:val="00671737"/>
    <w:rsid w:val="00673084"/>
    <w:rsid w:val="00673AED"/>
    <w:rsid w:val="00674283"/>
    <w:rsid w:val="00676BB4"/>
    <w:rsid w:val="00676C5C"/>
    <w:rsid w:val="00680D07"/>
    <w:rsid w:val="0068168A"/>
    <w:rsid w:val="00681933"/>
    <w:rsid w:val="00681DB9"/>
    <w:rsid w:val="00681EE2"/>
    <w:rsid w:val="00682460"/>
    <w:rsid w:val="00682A83"/>
    <w:rsid w:val="00682BD7"/>
    <w:rsid w:val="00682DE9"/>
    <w:rsid w:val="00683051"/>
    <w:rsid w:val="0068407E"/>
    <w:rsid w:val="006846FA"/>
    <w:rsid w:val="006846FE"/>
    <w:rsid w:val="00684E07"/>
    <w:rsid w:val="00687708"/>
    <w:rsid w:val="00687713"/>
    <w:rsid w:val="00687936"/>
    <w:rsid w:val="00691F1D"/>
    <w:rsid w:val="006920C5"/>
    <w:rsid w:val="00692C14"/>
    <w:rsid w:val="006935B8"/>
    <w:rsid w:val="006948FE"/>
    <w:rsid w:val="00695E52"/>
    <w:rsid w:val="006A03E8"/>
    <w:rsid w:val="006A363A"/>
    <w:rsid w:val="006A39AF"/>
    <w:rsid w:val="006A4422"/>
    <w:rsid w:val="006A4DA1"/>
    <w:rsid w:val="006A654D"/>
    <w:rsid w:val="006B0587"/>
    <w:rsid w:val="006B0782"/>
    <w:rsid w:val="006B0EA2"/>
    <w:rsid w:val="006B0ED3"/>
    <w:rsid w:val="006B21BA"/>
    <w:rsid w:val="006B2B65"/>
    <w:rsid w:val="006B31DD"/>
    <w:rsid w:val="006B3CDE"/>
    <w:rsid w:val="006B4BEC"/>
    <w:rsid w:val="006B63DA"/>
    <w:rsid w:val="006C06C4"/>
    <w:rsid w:val="006C247B"/>
    <w:rsid w:val="006C28F5"/>
    <w:rsid w:val="006C2996"/>
    <w:rsid w:val="006C309D"/>
    <w:rsid w:val="006C61F3"/>
    <w:rsid w:val="006C6745"/>
    <w:rsid w:val="006C6821"/>
    <w:rsid w:val="006C6C2D"/>
    <w:rsid w:val="006C6D64"/>
    <w:rsid w:val="006C6E90"/>
    <w:rsid w:val="006C7934"/>
    <w:rsid w:val="006C7F14"/>
    <w:rsid w:val="006D1617"/>
    <w:rsid w:val="006D16A1"/>
    <w:rsid w:val="006D1FA2"/>
    <w:rsid w:val="006D2686"/>
    <w:rsid w:val="006D3CB6"/>
    <w:rsid w:val="006D436A"/>
    <w:rsid w:val="006D470A"/>
    <w:rsid w:val="006D5624"/>
    <w:rsid w:val="006D630E"/>
    <w:rsid w:val="006D66DE"/>
    <w:rsid w:val="006D75C4"/>
    <w:rsid w:val="006E0822"/>
    <w:rsid w:val="006E0F7C"/>
    <w:rsid w:val="006E1C8B"/>
    <w:rsid w:val="006E21ED"/>
    <w:rsid w:val="006E260F"/>
    <w:rsid w:val="006E37D5"/>
    <w:rsid w:val="006E3E78"/>
    <w:rsid w:val="006E408A"/>
    <w:rsid w:val="006E4868"/>
    <w:rsid w:val="006E6390"/>
    <w:rsid w:val="006E6416"/>
    <w:rsid w:val="006E7B7C"/>
    <w:rsid w:val="006F0362"/>
    <w:rsid w:val="006F0B86"/>
    <w:rsid w:val="006F2064"/>
    <w:rsid w:val="006F214C"/>
    <w:rsid w:val="006F2239"/>
    <w:rsid w:val="006F22D7"/>
    <w:rsid w:val="006F23A2"/>
    <w:rsid w:val="006F2669"/>
    <w:rsid w:val="006F28BE"/>
    <w:rsid w:val="006F3EFE"/>
    <w:rsid w:val="006F6182"/>
    <w:rsid w:val="006F63D7"/>
    <w:rsid w:val="006F79AC"/>
    <w:rsid w:val="00700C0E"/>
    <w:rsid w:val="00702615"/>
    <w:rsid w:val="007031F3"/>
    <w:rsid w:val="00704356"/>
    <w:rsid w:val="007058D8"/>
    <w:rsid w:val="00707027"/>
    <w:rsid w:val="00707700"/>
    <w:rsid w:val="00713001"/>
    <w:rsid w:val="00713750"/>
    <w:rsid w:val="007145B7"/>
    <w:rsid w:val="00715ED2"/>
    <w:rsid w:val="007169D9"/>
    <w:rsid w:val="0072009B"/>
    <w:rsid w:val="00720283"/>
    <w:rsid w:val="007204C3"/>
    <w:rsid w:val="00720EFD"/>
    <w:rsid w:val="0072164C"/>
    <w:rsid w:val="007247C2"/>
    <w:rsid w:val="00724992"/>
    <w:rsid w:val="0072693D"/>
    <w:rsid w:val="007271AD"/>
    <w:rsid w:val="007274FD"/>
    <w:rsid w:val="00727C8D"/>
    <w:rsid w:val="00732730"/>
    <w:rsid w:val="00732B55"/>
    <w:rsid w:val="007337D0"/>
    <w:rsid w:val="00733A1B"/>
    <w:rsid w:val="007348A6"/>
    <w:rsid w:val="00735086"/>
    <w:rsid w:val="00735C9F"/>
    <w:rsid w:val="007362FC"/>
    <w:rsid w:val="00736BD2"/>
    <w:rsid w:val="007376C6"/>
    <w:rsid w:val="00741124"/>
    <w:rsid w:val="0074112B"/>
    <w:rsid w:val="007412D5"/>
    <w:rsid w:val="00741793"/>
    <w:rsid w:val="007417BF"/>
    <w:rsid w:val="007418C1"/>
    <w:rsid w:val="00743341"/>
    <w:rsid w:val="00743F12"/>
    <w:rsid w:val="00744098"/>
    <w:rsid w:val="00745C2B"/>
    <w:rsid w:val="00746360"/>
    <w:rsid w:val="00746AB9"/>
    <w:rsid w:val="00750EAD"/>
    <w:rsid w:val="0075114F"/>
    <w:rsid w:val="00752B9E"/>
    <w:rsid w:val="00754CC6"/>
    <w:rsid w:val="007553D8"/>
    <w:rsid w:val="007557FA"/>
    <w:rsid w:val="00755F87"/>
    <w:rsid w:val="007571A6"/>
    <w:rsid w:val="00757B81"/>
    <w:rsid w:val="0076190B"/>
    <w:rsid w:val="0076242F"/>
    <w:rsid w:val="00762C6D"/>
    <w:rsid w:val="00763096"/>
    <w:rsid w:val="007630FB"/>
    <w:rsid w:val="00763BFC"/>
    <w:rsid w:val="00764484"/>
    <w:rsid w:val="00764943"/>
    <w:rsid w:val="00765E2C"/>
    <w:rsid w:val="007665A3"/>
    <w:rsid w:val="007665F0"/>
    <w:rsid w:val="00766FCD"/>
    <w:rsid w:val="00770E55"/>
    <w:rsid w:val="00770E6A"/>
    <w:rsid w:val="00772D10"/>
    <w:rsid w:val="0077311E"/>
    <w:rsid w:val="00773AE8"/>
    <w:rsid w:val="00773E53"/>
    <w:rsid w:val="007759C8"/>
    <w:rsid w:val="007760CB"/>
    <w:rsid w:val="00777401"/>
    <w:rsid w:val="00777B75"/>
    <w:rsid w:val="00780192"/>
    <w:rsid w:val="0078054F"/>
    <w:rsid w:val="007822ED"/>
    <w:rsid w:val="007824F5"/>
    <w:rsid w:val="0078353F"/>
    <w:rsid w:val="007835B4"/>
    <w:rsid w:val="007839B2"/>
    <w:rsid w:val="00784B8C"/>
    <w:rsid w:val="007854AF"/>
    <w:rsid w:val="007858BE"/>
    <w:rsid w:val="00785BB5"/>
    <w:rsid w:val="00786A04"/>
    <w:rsid w:val="00787200"/>
    <w:rsid w:val="00787DCA"/>
    <w:rsid w:val="007909A0"/>
    <w:rsid w:val="00790B94"/>
    <w:rsid w:val="0079175C"/>
    <w:rsid w:val="00792A35"/>
    <w:rsid w:val="007935E8"/>
    <w:rsid w:val="00793A7C"/>
    <w:rsid w:val="00793CCA"/>
    <w:rsid w:val="007955F1"/>
    <w:rsid w:val="007A04CC"/>
    <w:rsid w:val="007A08B9"/>
    <w:rsid w:val="007A0A83"/>
    <w:rsid w:val="007A14AF"/>
    <w:rsid w:val="007A1B53"/>
    <w:rsid w:val="007A3253"/>
    <w:rsid w:val="007A398A"/>
    <w:rsid w:val="007A4741"/>
    <w:rsid w:val="007A4AA7"/>
    <w:rsid w:val="007A5135"/>
    <w:rsid w:val="007A69BB"/>
    <w:rsid w:val="007A69E4"/>
    <w:rsid w:val="007B15AB"/>
    <w:rsid w:val="007B2C20"/>
    <w:rsid w:val="007B611C"/>
    <w:rsid w:val="007B6556"/>
    <w:rsid w:val="007B6613"/>
    <w:rsid w:val="007B7EC1"/>
    <w:rsid w:val="007C07D6"/>
    <w:rsid w:val="007C1D13"/>
    <w:rsid w:val="007C2733"/>
    <w:rsid w:val="007C35BC"/>
    <w:rsid w:val="007C3B8E"/>
    <w:rsid w:val="007C7708"/>
    <w:rsid w:val="007D072B"/>
    <w:rsid w:val="007D0EB5"/>
    <w:rsid w:val="007D0F76"/>
    <w:rsid w:val="007D127B"/>
    <w:rsid w:val="007D1613"/>
    <w:rsid w:val="007D203F"/>
    <w:rsid w:val="007D2DBA"/>
    <w:rsid w:val="007D3DF8"/>
    <w:rsid w:val="007D708C"/>
    <w:rsid w:val="007E03B0"/>
    <w:rsid w:val="007E31A5"/>
    <w:rsid w:val="007E3B08"/>
    <w:rsid w:val="007E4C0E"/>
    <w:rsid w:val="007E5057"/>
    <w:rsid w:val="007E5CDE"/>
    <w:rsid w:val="007F1372"/>
    <w:rsid w:val="007F1A05"/>
    <w:rsid w:val="007F1D0A"/>
    <w:rsid w:val="007F20F4"/>
    <w:rsid w:val="007F3112"/>
    <w:rsid w:val="007F4002"/>
    <w:rsid w:val="007F4591"/>
    <w:rsid w:val="007F4AEF"/>
    <w:rsid w:val="007F5C1D"/>
    <w:rsid w:val="007F7FA9"/>
    <w:rsid w:val="0080391F"/>
    <w:rsid w:val="00804448"/>
    <w:rsid w:val="00811A3D"/>
    <w:rsid w:val="00813EBB"/>
    <w:rsid w:val="00814E5A"/>
    <w:rsid w:val="00815A67"/>
    <w:rsid w:val="00815EB3"/>
    <w:rsid w:val="00817DBA"/>
    <w:rsid w:val="00820FD8"/>
    <w:rsid w:val="008226BB"/>
    <w:rsid w:val="008234C9"/>
    <w:rsid w:val="00823D8F"/>
    <w:rsid w:val="00824398"/>
    <w:rsid w:val="00824798"/>
    <w:rsid w:val="00825242"/>
    <w:rsid w:val="00825C4A"/>
    <w:rsid w:val="008279FB"/>
    <w:rsid w:val="0083099F"/>
    <w:rsid w:val="0083481E"/>
    <w:rsid w:val="00834ED8"/>
    <w:rsid w:val="00835655"/>
    <w:rsid w:val="00835F24"/>
    <w:rsid w:val="0084012B"/>
    <w:rsid w:val="00840FF4"/>
    <w:rsid w:val="0084123C"/>
    <w:rsid w:val="0084187B"/>
    <w:rsid w:val="00841B0E"/>
    <w:rsid w:val="00841BFF"/>
    <w:rsid w:val="0084276B"/>
    <w:rsid w:val="00844430"/>
    <w:rsid w:val="008455F3"/>
    <w:rsid w:val="00846184"/>
    <w:rsid w:val="0084712F"/>
    <w:rsid w:val="008476F1"/>
    <w:rsid w:val="00852489"/>
    <w:rsid w:val="00852B4D"/>
    <w:rsid w:val="008531C8"/>
    <w:rsid w:val="00855D80"/>
    <w:rsid w:val="00856159"/>
    <w:rsid w:val="00860BC4"/>
    <w:rsid w:val="00861E33"/>
    <w:rsid w:val="008625C5"/>
    <w:rsid w:val="008629D3"/>
    <w:rsid w:val="00862F70"/>
    <w:rsid w:val="00864545"/>
    <w:rsid w:val="008665FC"/>
    <w:rsid w:val="00866CFB"/>
    <w:rsid w:val="00866EC5"/>
    <w:rsid w:val="00870152"/>
    <w:rsid w:val="008704A0"/>
    <w:rsid w:val="00870CB7"/>
    <w:rsid w:val="00871236"/>
    <w:rsid w:val="0087193D"/>
    <w:rsid w:val="00871D85"/>
    <w:rsid w:val="00872469"/>
    <w:rsid w:val="00872C17"/>
    <w:rsid w:val="00874AD9"/>
    <w:rsid w:val="00874BFA"/>
    <w:rsid w:val="0087529C"/>
    <w:rsid w:val="008752F9"/>
    <w:rsid w:val="0087592E"/>
    <w:rsid w:val="00875A7D"/>
    <w:rsid w:val="00875D84"/>
    <w:rsid w:val="0087653D"/>
    <w:rsid w:val="00876EE0"/>
    <w:rsid w:val="008774BB"/>
    <w:rsid w:val="00877C60"/>
    <w:rsid w:val="008808A1"/>
    <w:rsid w:val="00881093"/>
    <w:rsid w:val="00881406"/>
    <w:rsid w:val="008840F1"/>
    <w:rsid w:val="00884C63"/>
    <w:rsid w:val="00884E6F"/>
    <w:rsid w:val="008854F0"/>
    <w:rsid w:val="00885C2D"/>
    <w:rsid w:val="00885F2F"/>
    <w:rsid w:val="008868C1"/>
    <w:rsid w:val="00887FD2"/>
    <w:rsid w:val="00890EF0"/>
    <w:rsid w:val="00893155"/>
    <w:rsid w:val="008933CD"/>
    <w:rsid w:val="00893647"/>
    <w:rsid w:val="0089424E"/>
    <w:rsid w:val="00894277"/>
    <w:rsid w:val="008944A9"/>
    <w:rsid w:val="00894AAD"/>
    <w:rsid w:val="008A07A5"/>
    <w:rsid w:val="008A0EA7"/>
    <w:rsid w:val="008A134B"/>
    <w:rsid w:val="008A1AED"/>
    <w:rsid w:val="008A1C4E"/>
    <w:rsid w:val="008A2AEC"/>
    <w:rsid w:val="008A4994"/>
    <w:rsid w:val="008A5065"/>
    <w:rsid w:val="008A5617"/>
    <w:rsid w:val="008A72AD"/>
    <w:rsid w:val="008A7AF0"/>
    <w:rsid w:val="008B074A"/>
    <w:rsid w:val="008B1539"/>
    <w:rsid w:val="008B2CC1"/>
    <w:rsid w:val="008B34A8"/>
    <w:rsid w:val="008B3641"/>
    <w:rsid w:val="008B392D"/>
    <w:rsid w:val="008B3C87"/>
    <w:rsid w:val="008B4135"/>
    <w:rsid w:val="008B4D13"/>
    <w:rsid w:val="008B51DF"/>
    <w:rsid w:val="008B60B2"/>
    <w:rsid w:val="008B63EE"/>
    <w:rsid w:val="008B680D"/>
    <w:rsid w:val="008B7D33"/>
    <w:rsid w:val="008C0FFE"/>
    <w:rsid w:val="008C1E35"/>
    <w:rsid w:val="008C222F"/>
    <w:rsid w:val="008C2725"/>
    <w:rsid w:val="008C2E7F"/>
    <w:rsid w:val="008C65C8"/>
    <w:rsid w:val="008C7E55"/>
    <w:rsid w:val="008D0157"/>
    <w:rsid w:val="008D217F"/>
    <w:rsid w:val="008D388C"/>
    <w:rsid w:val="008D51D7"/>
    <w:rsid w:val="008D7A73"/>
    <w:rsid w:val="008E0635"/>
    <w:rsid w:val="008E2A0B"/>
    <w:rsid w:val="008E34AC"/>
    <w:rsid w:val="008E4111"/>
    <w:rsid w:val="008E4954"/>
    <w:rsid w:val="008E4AF1"/>
    <w:rsid w:val="008E54AC"/>
    <w:rsid w:val="008E617A"/>
    <w:rsid w:val="008E65BD"/>
    <w:rsid w:val="008E6CBE"/>
    <w:rsid w:val="008E7085"/>
    <w:rsid w:val="008E776C"/>
    <w:rsid w:val="008F0B53"/>
    <w:rsid w:val="008F3CEA"/>
    <w:rsid w:val="008F431F"/>
    <w:rsid w:val="008F533E"/>
    <w:rsid w:val="008F57F5"/>
    <w:rsid w:val="008F59CA"/>
    <w:rsid w:val="008F5C37"/>
    <w:rsid w:val="008F60B2"/>
    <w:rsid w:val="008F6569"/>
    <w:rsid w:val="00900133"/>
    <w:rsid w:val="009007EB"/>
    <w:rsid w:val="00901799"/>
    <w:rsid w:val="00901E25"/>
    <w:rsid w:val="0090279A"/>
    <w:rsid w:val="00902EF6"/>
    <w:rsid w:val="00906431"/>
    <w:rsid w:val="009067A4"/>
    <w:rsid w:val="0090731E"/>
    <w:rsid w:val="0091067B"/>
    <w:rsid w:val="00911235"/>
    <w:rsid w:val="00913330"/>
    <w:rsid w:val="00916EE2"/>
    <w:rsid w:val="00917027"/>
    <w:rsid w:val="00917812"/>
    <w:rsid w:val="00917DC6"/>
    <w:rsid w:val="00920145"/>
    <w:rsid w:val="00920242"/>
    <w:rsid w:val="00920780"/>
    <w:rsid w:val="009207A9"/>
    <w:rsid w:val="009207CD"/>
    <w:rsid w:val="0092307C"/>
    <w:rsid w:val="00923707"/>
    <w:rsid w:val="009248B9"/>
    <w:rsid w:val="0092520E"/>
    <w:rsid w:val="0092629B"/>
    <w:rsid w:val="00926489"/>
    <w:rsid w:val="00927284"/>
    <w:rsid w:val="00927C06"/>
    <w:rsid w:val="00927C26"/>
    <w:rsid w:val="009325AF"/>
    <w:rsid w:val="00932991"/>
    <w:rsid w:val="00933146"/>
    <w:rsid w:val="009338F0"/>
    <w:rsid w:val="00933D56"/>
    <w:rsid w:val="00933E9D"/>
    <w:rsid w:val="00933EA0"/>
    <w:rsid w:val="0093493A"/>
    <w:rsid w:val="00935887"/>
    <w:rsid w:val="009371DE"/>
    <w:rsid w:val="00937811"/>
    <w:rsid w:val="00937BD0"/>
    <w:rsid w:val="00940EB3"/>
    <w:rsid w:val="00943301"/>
    <w:rsid w:val="0094353D"/>
    <w:rsid w:val="00945914"/>
    <w:rsid w:val="00946233"/>
    <w:rsid w:val="00946B56"/>
    <w:rsid w:val="009473C8"/>
    <w:rsid w:val="00947F52"/>
    <w:rsid w:val="00950261"/>
    <w:rsid w:val="009520CF"/>
    <w:rsid w:val="00953070"/>
    <w:rsid w:val="00956AB7"/>
    <w:rsid w:val="00957F2D"/>
    <w:rsid w:val="009610EB"/>
    <w:rsid w:val="00962464"/>
    <w:rsid w:val="00963131"/>
    <w:rsid w:val="009654FA"/>
    <w:rsid w:val="00966A22"/>
    <w:rsid w:val="0096722F"/>
    <w:rsid w:val="00971127"/>
    <w:rsid w:val="00972611"/>
    <w:rsid w:val="009729AA"/>
    <w:rsid w:val="00973613"/>
    <w:rsid w:val="00973E9D"/>
    <w:rsid w:val="00974341"/>
    <w:rsid w:val="00974B51"/>
    <w:rsid w:val="00975499"/>
    <w:rsid w:val="00975F21"/>
    <w:rsid w:val="009806D3"/>
    <w:rsid w:val="00980843"/>
    <w:rsid w:val="00980C8A"/>
    <w:rsid w:val="00981402"/>
    <w:rsid w:val="009821BA"/>
    <w:rsid w:val="009827F0"/>
    <w:rsid w:val="00982A7A"/>
    <w:rsid w:val="00982B79"/>
    <w:rsid w:val="00983257"/>
    <w:rsid w:val="0098383C"/>
    <w:rsid w:val="00984083"/>
    <w:rsid w:val="00984591"/>
    <w:rsid w:val="009845A0"/>
    <w:rsid w:val="009876A0"/>
    <w:rsid w:val="009905A9"/>
    <w:rsid w:val="00991953"/>
    <w:rsid w:val="00992E8A"/>
    <w:rsid w:val="0099423D"/>
    <w:rsid w:val="009967D5"/>
    <w:rsid w:val="009968D0"/>
    <w:rsid w:val="009A0611"/>
    <w:rsid w:val="009A10D2"/>
    <w:rsid w:val="009A2416"/>
    <w:rsid w:val="009A2670"/>
    <w:rsid w:val="009A312B"/>
    <w:rsid w:val="009A4CE1"/>
    <w:rsid w:val="009A5C45"/>
    <w:rsid w:val="009A765D"/>
    <w:rsid w:val="009B04C6"/>
    <w:rsid w:val="009B18B5"/>
    <w:rsid w:val="009B1E9D"/>
    <w:rsid w:val="009B33A2"/>
    <w:rsid w:val="009B410C"/>
    <w:rsid w:val="009B4DAA"/>
    <w:rsid w:val="009B52FF"/>
    <w:rsid w:val="009B71D0"/>
    <w:rsid w:val="009B73DF"/>
    <w:rsid w:val="009B7F9B"/>
    <w:rsid w:val="009C0428"/>
    <w:rsid w:val="009C0C3F"/>
    <w:rsid w:val="009C0E36"/>
    <w:rsid w:val="009C11C5"/>
    <w:rsid w:val="009C1E17"/>
    <w:rsid w:val="009C3B2E"/>
    <w:rsid w:val="009C4058"/>
    <w:rsid w:val="009C428C"/>
    <w:rsid w:val="009C6810"/>
    <w:rsid w:val="009D05BA"/>
    <w:rsid w:val="009D0DEC"/>
    <w:rsid w:val="009D0E06"/>
    <w:rsid w:val="009D1728"/>
    <w:rsid w:val="009D3645"/>
    <w:rsid w:val="009D42E7"/>
    <w:rsid w:val="009D7613"/>
    <w:rsid w:val="009E0ECD"/>
    <w:rsid w:val="009E19E7"/>
    <w:rsid w:val="009E2711"/>
    <w:rsid w:val="009E2791"/>
    <w:rsid w:val="009E3F6F"/>
    <w:rsid w:val="009E4EF3"/>
    <w:rsid w:val="009E7822"/>
    <w:rsid w:val="009F112F"/>
    <w:rsid w:val="009F17D4"/>
    <w:rsid w:val="009F196E"/>
    <w:rsid w:val="009F2110"/>
    <w:rsid w:val="009F214A"/>
    <w:rsid w:val="009F29DA"/>
    <w:rsid w:val="009F2CC1"/>
    <w:rsid w:val="009F2E15"/>
    <w:rsid w:val="009F31AC"/>
    <w:rsid w:val="009F4562"/>
    <w:rsid w:val="009F4876"/>
    <w:rsid w:val="009F499F"/>
    <w:rsid w:val="009F7E0B"/>
    <w:rsid w:val="00A01C12"/>
    <w:rsid w:val="00A0285E"/>
    <w:rsid w:val="00A049B1"/>
    <w:rsid w:val="00A04CA2"/>
    <w:rsid w:val="00A05696"/>
    <w:rsid w:val="00A0682C"/>
    <w:rsid w:val="00A06BBA"/>
    <w:rsid w:val="00A109F0"/>
    <w:rsid w:val="00A11D73"/>
    <w:rsid w:val="00A11F4F"/>
    <w:rsid w:val="00A120B9"/>
    <w:rsid w:val="00A1212F"/>
    <w:rsid w:val="00A1223C"/>
    <w:rsid w:val="00A128B5"/>
    <w:rsid w:val="00A12B12"/>
    <w:rsid w:val="00A135EF"/>
    <w:rsid w:val="00A144E7"/>
    <w:rsid w:val="00A14936"/>
    <w:rsid w:val="00A14A1E"/>
    <w:rsid w:val="00A160FE"/>
    <w:rsid w:val="00A165D4"/>
    <w:rsid w:val="00A1786A"/>
    <w:rsid w:val="00A20D1E"/>
    <w:rsid w:val="00A22602"/>
    <w:rsid w:val="00A23041"/>
    <w:rsid w:val="00A25397"/>
    <w:rsid w:val="00A26A8E"/>
    <w:rsid w:val="00A27A83"/>
    <w:rsid w:val="00A27A97"/>
    <w:rsid w:val="00A301B6"/>
    <w:rsid w:val="00A305B0"/>
    <w:rsid w:val="00A30D90"/>
    <w:rsid w:val="00A3136F"/>
    <w:rsid w:val="00A31690"/>
    <w:rsid w:val="00A325BB"/>
    <w:rsid w:val="00A3384A"/>
    <w:rsid w:val="00A35144"/>
    <w:rsid w:val="00A35910"/>
    <w:rsid w:val="00A36D21"/>
    <w:rsid w:val="00A37342"/>
    <w:rsid w:val="00A37C1E"/>
    <w:rsid w:val="00A4059D"/>
    <w:rsid w:val="00A40906"/>
    <w:rsid w:val="00A41A35"/>
    <w:rsid w:val="00A42BF4"/>
    <w:rsid w:val="00A42DAF"/>
    <w:rsid w:val="00A446E3"/>
    <w:rsid w:val="00A459D0"/>
    <w:rsid w:val="00A45BD8"/>
    <w:rsid w:val="00A46321"/>
    <w:rsid w:val="00A46582"/>
    <w:rsid w:val="00A47004"/>
    <w:rsid w:val="00A47232"/>
    <w:rsid w:val="00A477FF"/>
    <w:rsid w:val="00A52882"/>
    <w:rsid w:val="00A52E0E"/>
    <w:rsid w:val="00A533C2"/>
    <w:rsid w:val="00A5417D"/>
    <w:rsid w:val="00A55319"/>
    <w:rsid w:val="00A56B03"/>
    <w:rsid w:val="00A60210"/>
    <w:rsid w:val="00A60F4D"/>
    <w:rsid w:val="00A63211"/>
    <w:rsid w:val="00A63E81"/>
    <w:rsid w:val="00A640AF"/>
    <w:rsid w:val="00A66021"/>
    <w:rsid w:val="00A660EE"/>
    <w:rsid w:val="00A66CBD"/>
    <w:rsid w:val="00A714FB"/>
    <w:rsid w:val="00A733FF"/>
    <w:rsid w:val="00A73C8A"/>
    <w:rsid w:val="00A74161"/>
    <w:rsid w:val="00A747C7"/>
    <w:rsid w:val="00A748DD"/>
    <w:rsid w:val="00A76ADD"/>
    <w:rsid w:val="00A76B51"/>
    <w:rsid w:val="00A805D1"/>
    <w:rsid w:val="00A80B36"/>
    <w:rsid w:val="00A82916"/>
    <w:rsid w:val="00A8340D"/>
    <w:rsid w:val="00A83DFF"/>
    <w:rsid w:val="00A83E18"/>
    <w:rsid w:val="00A85231"/>
    <w:rsid w:val="00A86021"/>
    <w:rsid w:val="00A861A6"/>
    <w:rsid w:val="00A869B7"/>
    <w:rsid w:val="00A90942"/>
    <w:rsid w:val="00A90F0A"/>
    <w:rsid w:val="00A9211E"/>
    <w:rsid w:val="00A923C0"/>
    <w:rsid w:val="00A92913"/>
    <w:rsid w:val="00A93C05"/>
    <w:rsid w:val="00A959A1"/>
    <w:rsid w:val="00A9721B"/>
    <w:rsid w:val="00AA0AAC"/>
    <w:rsid w:val="00AA27D4"/>
    <w:rsid w:val="00AA2945"/>
    <w:rsid w:val="00AA339F"/>
    <w:rsid w:val="00AA3676"/>
    <w:rsid w:val="00AA421F"/>
    <w:rsid w:val="00AA4DE3"/>
    <w:rsid w:val="00AA58EC"/>
    <w:rsid w:val="00AA6090"/>
    <w:rsid w:val="00AA6B34"/>
    <w:rsid w:val="00AA767C"/>
    <w:rsid w:val="00AB3FAA"/>
    <w:rsid w:val="00AB5B4A"/>
    <w:rsid w:val="00AB6834"/>
    <w:rsid w:val="00AB684C"/>
    <w:rsid w:val="00AB7030"/>
    <w:rsid w:val="00AC040D"/>
    <w:rsid w:val="00AC0CC2"/>
    <w:rsid w:val="00AC1701"/>
    <w:rsid w:val="00AC1883"/>
    <w:rsid w:val="00AC1E34"/>
    <w:rsid w:val="00AC205C"/>
    <w:rsid w:val="00AC2390"/>
    <w:rsid w:val="00AC2EE9"/>
    <w:rsid w:val="00AC3326"/>
    <w:rsid w:val="00AC4BE9"/>
    <w:rsid w:val="00AC6142"/>
    <w:rsid w:val="00AC726D"/>
    <w:rsid w:val="00AD1FC6"/>
    <w:rsid w:val="00AD23E3"/>
    <w:rsid w:val="00AD4DB1"/>
    <w:rsid w:val="00AE2264"/>
    <w:rsid w:val="00AE231E"/>
    <w:rsid w:val="00AE2F3C"/>
    <w:rsid w:val="00AE3844"/>
    <w:rsid w:val="00AE3FC0"/>
    <w:rsid w:val="00AE73E7"/>
    <w:rsid w:val="00AE7A6D"/>
    <w:rsid w:val="00AF0A6B"/>
    <w:rsid w:val="00AF29B4"/>
    <w:rsid w:val="00AF3F24"/>
    <w:rsid w:val="00AF4661"/>
    <w:rsid w:val="00AF5CF0"/>
    <w:rsid w:val="00AF6B12"/>
    <w:rsid w:val="00AF6C02"/>
    <w:rsid w:val="00AF7C5A"/>
    <w:rsid w:val="00B00FA7"/>
    <w:rsid w:val="00B01F7B"/>
    <w:rsid w:val="00B021F7"/>
    <w:rsid w:val="00B022AC"/>
    <w:rsid w:val="00B026FE"/>
    <w:rsid w:val="00B02E87"/>
    <w:rsid w:val="00B03AC9"/>
    <w:rsid w:val="00B05A69"/>
    <w:rsid w:val="00B065F5"/>
    <w:rsid w:val="00B06B61"/>
    <w:rsid w:val="00B06BF7"/>
    <w:rsid w:val="00B07746"/>
    <w:rsid w:val="00B101AC"/>
    <w:rsid w:val="00B1047F"/>
    <w:rsid w:val="00B10E64"/>
    <w:rsid w:val="00B113B2"/>
    <w:rsid w:val="00B117BC"/>
    <w:rsid w:val="00B12E35"/>
    <w:rsid w:val="00B1350E"/>
    <w:rsid w:val="00B13F53"/>
    <w:rsid w:val="00B1435A"/>
    <w:rsid w:val="00B14566"/>
    <w:rsid w:val="00B148F9"/>
    <w:rsid w:val="00B14ED8"/>
    <w:rsid w:val="00B15C52"/>
    <w:rsid w:val="00B172F1"/>
    <w:rsid w:val="00B1749D"/>
    <w:rsid w:val="00B20FC0"/>
    <w:rsid w:val="00B2153A"/>
    <w:rsid w:val="00B2250A"/>
    <w:rsid w:val="00B225F6"/>
    <w:rsid w:val="00B22CE3"/>
    <w:rsid w:val="00B23DDB"/>
    <w:rsid w:val="00B23FFF"/>
    <w:rsid w:val="00B241FE"/>
    <w:rsid w:val="00B255C8"/>
    <w:rsid w:val="00B26152"/>
    <w:rsid w:val="00B263B2"/>
    <w:rsid w:val="00B26985"/>
    <w:rsid w:val="00B2736C"/>
    <w:rsid w:val="00B27B4F"/>
    <w:rsid w:val="00B27F07"/>
    <w:rsid w:val="00B301D1"/>
    <w:rsid w:val="00B30790"/>
    <w:rsid w:val="00B31F22"/>
    <w:rsid w:val="00B322CB"/>
    <w:rsid w:val="00B326C5"/>
    <w:rsid w:val="00B32F5C"/>
    <w:rsid w:val="00B3385B"/>
    <w:rsid w:val="00B361C9"/>
    <w:rsid w:val="00B379BB"/>
    <w:rsid w:val="00B37BD5"/>
    <w:rsid w:val="00B410C3"/>
    <w:rsid w:val="00B42540"/>
    <w:rsid w:val="00B43CDF"/>
    <w:rsid w:val="00B450F3"/>
    <w:rsid w:val="00B47439"/>
    <w:rsid w:val="00B476DD"/>
    <w:rsid w:val="00B477C1"/>
    <w:rsid w:val="00B47D12"/>
    <w:rsid w:val="00B51EBB"/>
    <w:rsid w:val="00B52BA7"/>
    <w:rsid w:val="00B54AA1"/>
    <w:rsid w:val="00B54B45"/>
    <w:rsid w:val="00B554E1"/>
    <w:rsid w:val="00B573C3"/>
    <w:rsid w:val="00B5756F"/>
    <w:rsid w:val="00B603E0"/>
    <w:rsid w:val="00B60C7E"/>
    <w:rsid w:val="00B61179"/>
    <w:rsid w:val="00B612D9"/>
    <w:rsid w:val="00B63A33"/>
    <w:rsid w:val="00B64803"/>
    <w:rsid w:val="00B65B23"/>
    <w:rsid w:val="00B66BF6"/>
    <w:rsid w:val="00B6762D"/>
    <w:rsid w:val="00B70742"/>
    <w:rsid w:val="00B71D36"/>
    <w:rsid w:val="00B72137"/>
    <w:rsid w:val="00B73670"/>
    <w:rsid w:val="00B736F2"/>
    <w:rsid w:val="00B73D1D"/>
    <w:rsid w:val="00B73E8B"/>
    <w:rsid w:val="00B75281"/>
    <w:rsid w:val="00B77B18"/>
    <w:rsid w:val="00B80938"/>
    <w:rsid w:val="00B80C09"/>
    <w:rsid w:val="00B80D09"/>
    <w:rsid w:val="00B813B9"/>
    <w:rsid w:val="00B81EE4"/>
    <w:rsid w:val="00B8224A"/>
    <w:rsid w:val="00B82559"/>
    <w:rsid w:val="00B831B6"/>
    <w:rsid w:val="00B83704"/>
    <w:rsid w:val="00B839B8"/>
    <w:rsid w:val="00B846F4"/>
    <w:rsid w:val="00B86091"/>
    <w:rsid w:val="00B871BA"/>
    <w:rsid w:val="00B87798"/>
    <w:rsid w:val="00B904C3"/>
    <w:rsid w:val="00B905F4"/>
    <w:rsid w:val="00B91618"/>
    <w:rsid w:val="00B91764"/>
    <w:rsid w:val="00B92029"/>
    <w:rsid w:val="00B92084"/>
    <w:rsid w:val="00B92391"/>
    <w:rsid w:val="00B92F1F"/>
    <w:rsid w:val="00B9307E"/>
    <w:rsid w:val="00B931D6"/>
    <w:rsid w:val="00B9454C"/>
    <w:rsid w:val="00B94B27"/>
    <w:rsid w:val="00B96A56"/>
    <w:rsid w:val="00B96BE1"/>
    <w:rsid w:val="00B9734B"/>
    <w:rsid w:val="00B97C97"/>
    <w:rsid w:val="00BA11EC"/>
    <w:rsid w:val="00BA1830"/>
    <w:rsid w:val="00BA2915"/>
    <w:rsid w:val="00BA29C9"/>
    <w:rsid w:val="00BA2F91"/>
    <w:rsid w:val="00BA30E2"/>
    <w:rsid w:val="00BA38B9"/>
    <w:rsid w:val="00BA3F27"/>
    <w:rsid w:val="00BA47AB"/>
    <w:rsid w:val="00BA48AF"/>
    <w:rsid w:val="00BA6C50"/>
    <w:rsid w:val="00BA6CF5"/>
    <w:rsid w:val="00BA70ED"/>
    <w:rsid w:val="00BB0236"/>
    <w:rsid w:val="00BB02E6"/>
    <w:rsid w:val="00BB05E7"/>
    <w:rsid w:val="00BB06DB"/>
    <w:rsid w:val="00BB11D1"/>
    <w:rsid w:val="00BB15B3"/>
    <w:rsid w:val="00BB1845"/>
    <w:rsid w:val="00BB1BEB"/>
    <w:rsid w:val="00BB2F25"/>
    <w:rsid w:val="00BB317C"/>
    <w:rsid w:val="00BB440F"/>
    <w:rsid w:val="00BB48C9"/>
    <w:rsid w:val="00BB55A5"/>
    <w:rsid w:val="00BB5821"/>
    <w:rsid w:val="00BB58FD"/>
    <w:rsid w:val="00BB5A3E"/>
    <w:rsid w:val="00BB614E"/>
    <w:rsid w:val="00BB65D4"/>
    <w:rsid w:val="00BB6EEC"/>
    <w:rsid w:val="00BB7BA4"/>
    <w:rsid w:val="00BC2FB9"/>
    <w:rsid w:val="00BC33E7"/>
    <w:rsid w:val="00BC3F72"/>
    <w:rsid w:val="00BC3F9D"/>
    <w:rsid w:val="00BC4E4C"/>
    <w:rsid w:val="00BD0CA9"/>
    <w:rsid w:val="00BD3775"/>
    <w:rsid w:val="00BD63B5"/>
    <w:rsid w:val="00BD77BC"/>
    <w:rsid w:val="00BE09B2"/>
    <w:rsid w:val="00BE11B1"/>
    <w:rsid w:val="00BE20B8"/>
    <w:rsid w:val="00BE29AE"/>
    <w:rsid w:val="00BE2EF0"/>
    <w:rsid w:val="00BE38F1"/>
    <w:rsid w:val="00BE595B"/>
    <w:rsid w:val="00BE5AAB"/>
    <w:rsid w:val="00BE6F31"/>
    <w:rsid w:val="00BF027A"/>
    <w:rsid w:val="00BF3F83"/>
    <w:rsid w:val="00BF41BC"/>
    <w:rsid w:val="00BF51B7"/>
    <w:rsid w:val="00BF549B"/>
    <w:rsid w:val="00BF618F"/>
    <w:rsid w:val="00BF62CC"/>
    <w:rsid w:val="00BF667A"/>
    <w:rsid w:val="00C04646"/>
    <w:rsid w:val="00C04781"/>
    <w:rsid w:val="00C06696"/>
    <w:rsid w:val="00C07AB7"/>
    <w:rsid w:val="00C07BE7"/>
    <w:rsid w:val="00C10D30"/>
    <w:rsid w:val="00C1130B"/>
    <w:rsid w:val="00C11BFE"/>
    <w:rsid w:val="00C12022"/>
    <w:rsid w:val="00C12364"/>
    <w:rsid w:val="00C12CA2"/>
    <w:rsid w:val="00C13091"/>
    <w:rsid w:val="00C13E93"/>
    <w:rsid w:val="00C14032"/>
    <w:rsid w:val="00C14ADA"/>
    <w:rsid w:val="00C15D2D"/>
    <w:rsid w:val="00C15F24"/>
    <w:rsid w:val="00C167BD"/>
    <w:rsid w:val="00C1745C"/>
    <w:rsid w:val="00C1759C"/>
    <w:rsid w:val="00C2019E"/>
    <w:rsid w:val="00C20859"/>
    <w:rsid w:val="00C20C3B"/>
    <w:rsid w:val="00C22445"/>
    <w:rsid w:val="00C226DC"/>
    <w:rsid w:val="00C25B97"/>
    <w:rsid w:val="00C26B61"/>
    <w:rsid w:val="00C3010F"/>
    <w:rsid w:val="00C3028D"/>
    <w:rsid w:val="00C30A76"/>
    <w:rsid w:val="00C30CBE"/>
    <w:rsid w:val="00C314BF"/>
    <w:rsid w:val="00C330F2"/>
    <w:rsid w:val="00C33215"/>
    <w:rsid w:val="00C3322D"/>
    <w:rsid w:val="00C338AF"/>
    <w:rsid w:val="00C338B9"/>
    <w:rsid w:val="00C343DB"/>
    <w:rsid w:val="00C348A3"/>
    <w:rsid w:val="00C41D2C"/>
    <w:rsid w:val="00C433E0"/>
    <w:rsid w:val="00C44EA3"/>
    <w:rsid w:val="00C4549B"/>
    <w:rsid w:val="00C46801"/>
    <w:rsid w:val="00C5068F"/>
    <w:rsid w:val="00C52505"/>
    <w:rsid w:val="00C52B6E"/>
    <w:rsid w:val="00C53D88"/>
    <w:rsid w:val="00C53EF7"/>
    <w:rsid w:val="00C54B4F"/>
    <w:rsid w:val="00C5763E"/>
    <w:rsid w:val="00C57F63"/>
    <w:rsid w:val="00C6304A"/>
    <w:rsid w:val="00C63D2A"/>
    <w:rsid w:val="00C63E21"/>
    <w:rsid w:val="00C668BE"/>
    <w:rsid w:val="00C671CB"/>
    <w:rsid w:val="00C70A2E"/>
    <w:rsid w:val="00C72249"/>
    <w:rsid w:val="00C72379"/>
    <w:rsid w:val="00C7394E"/>
    <w:rsid w:val="00C73EF5"/>
    <w:rsid w:val="00C742B7"/>
    <w:rsid w:val="00C765F4"/>
    <w:rsid w:val="00C76DFE"/>
    <w:rsid w:val="00C76EFE"/>
    <w:rsid w:val="00C8082F"/>
    <w:rsid w:val="00C8158A"/>
    <w:rsid w:val="00C81A9A"/>
    <w:rsid w:val="00C82D34"/>
    <w:rsid w:val="00C83A28"/>
    <w:rsid w:val="00C83EE8"/>
    <w:rsid w:val="00C85CDE"/>
    <w:rsid w:val="00C86D74"/>
    <w:rsid w:val="00C86E12"/>
    <w:rsid w:val="00C874A3"/>
    <w:rsid w:val="00C87A08"/>
    <w:rsid w:val="00C90018"/>
    <w:rsid w:val="00C91B51"/>
    <w:rsid w:val="00C92A3C"/>
    <w:rsid w:val="00C94579"/>
    <w:rsid w:val="00C94E2C"/>
    <w:rsid w:val="00C96E08"/>
    <w:rsid w:val="00C97328"/>
    <w:rsid w:val="00CA10F6"/>
    <w:rsid w:val="00CA2297"/>
    <w:rsid w:val="00CA2C1D"/>
    <w:rsid w:val="00CA2EFB"/>
    <w:rsid w:val="00CA458B"/>
    <w:rsid w:val="00CA46A5"/>
    <w:rsid w:val="00CA622D"/>
    <w:rsid w:val="00CA69CC"/>
    <w:rsid w:val="00CA7052"/>
    <w:rsid w:val="00CB139B"/>
    <w:rsid w:val="00CB255F"/>
    <w:rsid w:val="00CB31C9"/>
    <w:rsid w:val="00CB36B4"/>
    <w:rsid w:val="00CB3866"/>
    <w:rsid w:val="00CB465D"/>
    <w:rsid w:val="00CB4B65"/>
    <w:rsid w:val="00CB5740"/>
    <w:rsid w:val="00CB6268"/>
    <w:rsid w:val="00CB62D9"/>
    <w:rsid w:val="00CB6353"/>
    <w:rsid w:val="00CB6B2A"/>
    <w:rsid w:val="00CB6D57"/>
    <w:rsid w:val="00CB7D20"/>
    <w:rsid w:val="00CC1896"/>
    <w:rsid w:val="00CC1A31"/>
    <w:rsid w:val="00CC1AA5"/>
    <w:rsid w:val="00CC2883"/>
    <w:rsid w:val="00CC6622"/>
    <w:rsid w:val="00CC6CF9"/>
    <w:rsid w:val="00CC7F69"/>
    <w:rsid w:val="00CD04CB"/>
    <w:rsid w:val="00CD04F1"/>
    <w:rsid w:val="00CD0ECF"/>
    <w:rsid w:val="00CD2DB5"/>
    <w:rsid w:val="00CD2F50"/>
    <w:rsid w:val="00CD4D07"/>
    <w:rsid w:val="00CD4D59"/>
    <w:rsid w:val="00CD540C"/>
    <w:rsid w:val="00CD550B"/>
    <w:rsid w:val="00CD5A37"/>
    <w:rsid w:val="00CD64D5"/>
    <w:rsid w:val="00CD7B52"/>
    <w:rsid w:val="00CD7CA9"/>
    <w:rsid w:val="00CE10DB"/>
    <w:rsid w:val="00CE1F76"/>
    <w:rsid w:val="00CE26B2"/>
    <w:rsid w:val="00CE3718"/>
    <w:rsid w:val="00CE395F"/>
    <w:rsid w:val="00CE3975"/>
    <w:rsid w:val="00CE39F1"/>
    <w:rsid w:val="00CE5AAD"/>
    <w:rsid w:val="00CE7DDD"/>
    <w:rsid w:val="00CF0ADA"/>
    <w:rsid w:val="00CF19A9"/>
    <w:rsid w:val="00CF20F6"/>
    <w:rsid w:val="00CF2365"/>
    <w:rsid w:val="00CF29EA"/>
    <w:rsid w:val="00CF3599"/>
    <w:rsid w:val="00CF4E9E"/>
    <w:rsid w:val="00CF5700"/>
    <w:rsid w:val="00CF612D"/>
    <w:rsid w:val="00CF67A0"/>
    <w:rsid w:val="00CF681A"/>
    <w:rsid w:val="00CF6DD2"/>
    <w:rsid w:val="00CF6E94"/>
    <w:rsid w:val="00D00A17"/>
    <w:rsid w:val="00D00E93"/>
    <w:rsid w:val="00D02193"/>
    <w:rsid w:val="00D02DD4"/>
    <w:rsid w:val="00D04613"/>
    <w:rsid w:val="00D051F6"/>
    <w:rsid w:val="00D0585B"/>
    <w:rsid w:val="00D06DF9"/>
    <w:rsid w:val="00D075BE"/>
    <w:rsid w:val="00D07775"/>
    <w:rsid w:val="00D07C78"/>
    <w:rsid w:val="00D101BE"/>
    <w:rsid w:val="00D1090E"/>
    <w:rsid w:val="00D11381"/>
    <w:rsid w:val="00D11C10"/>
    <w:rsid w:val="00D1233F"/>
    <w:rsid w:val="00D12AE2"/>
    <w:rsid w:val="00D1465B"/>
    <w:rsid w:val="00D1514D"/>
    <w:rsid w:val="00D15659"/>
    <w:rsid w:val="00D160AC"/>
    <w:rsid w:val="00D16101"/>
    <w:rsid w:val="00D163B3"/>
    <w:rsid w:val="00D16866"/>
    <w:rsid w:val="00D179DD"/>
    <w:rsid w:val="00D20813"/>
    <w:rsid w:val="00D255CD"/>
    <w:rsid w:val="00D25933"/>
    <w:rsid w:val="00D26660"/>
    <w:rsid w:val="00D26A7E"/>
    <w:rsid w:val="00D32063"/>
    <w:rsid w:val="00D326DA"/>
    <w:rsid w:val="00D332CD"/>
    <w:rsid w:val="00D337DB"/>
    <w:rsid w:val="00D34651"/>
    <w:rsid w:val="00D3715E"/>
    <w:rsid w:val="00D377EB"/>
    <w:rsid w:val="00D37D92"/>
    <w:rsid w:val="00D40210"/>
    <w:rsid w:val="00D40810"/>
    <w:rsid w:val="00D418DE"/>
    <w:rsid w:val="00D41EAF"/>
    <w:rsid w:val="00D43A68"/>
    <w:rsid w:val="00D451CB"/>
    <w:rsid w:val="00D45252"/>
    <w:rsid w:val="00D45D48"/>
    <w:rsid w:val="00D466A6"/>
    <w:rsid w:val="00D46B9B"/>
    <w:rsid w:val="00D47076"/>
    <w:rsid w:val="00D47600"/>
    <w:rsid w:val="00D516CD"/>
    <w:rsid w:val="00D51AAD"/>
    <w:rsid w:val="00D52254"/>
    <w:rsid w:val="00D527BE"/>
    <w:rsid w:val="00D53FF5"/>
    <w:rsid w:val="00D55A17"/>
    <w:rsid w:val="00D55DF6"/>
    <w:rsid w:val="00D60844"/>
    <w:rsid w:val="00D614E7"/>
    <w:rsid w:val="00D61880"/>
    <w:rsid w:val="00D61B9D"/>
    <w:rsid w:val="00D6288B"/>
    <w:rsid w:val="00D62BEE"/>
    <w:rsid w:val="00D63889"/>
    <w:rsid w:val="00D63F94"/>
    <w:rsid w:val="00D64D09"/>
    <w:rsid w:val="00D64FD0"/>
    <w:rsid w:val="00D6501B"/>
    <w:rsid w:val="00D657C6"/>
    <w:rsid w:val="00D6710C"/>
    <w:rsid w:val="00D67317"/>
    <w:rsid w:val="00D70436"/>
    <w:rsid w:val="00D70D76"/>
    <w:rsid w:val="00D71B4D"/>
    <w:rsid w:val="00D73B91"/>
    <w:rsid w:val="00D74247"/>
    <w:rsid w:val="00D74EB0"/>
    <w:rsid w:val="00D75123"/>
    <w:rsid w:val="00D765F3"/>
    <w:rsid w:val="00D770FB"/>
    <w:rsid w:val="00D77C2D"/>
    <w:rsid w:val="00D80462"/>
    <w:rsid w:val="00D80550"/>
    <w:rsid w:val="00D81043"/>
    <w:rsid w:val="00D8171F"/>
    <w:rsid w:val="00D84C2A"/>
    <w:rsid w:val="00D85049"/>
    <w:rsid w:val="00D8538A"/>
    <w:rsid w:val="00D86F30"/>
    <w:rsid w:val="00D875FC"/>
    <w:rsid w:val="00D87AA3"/>
    <w:rsid w:val="00D9063E"/>
    <w:rsid w:val="00D9137D"/>
    <w:rsid w:val="00D91728"/>
    <w:rsid w:val="00D9205F"/>
    <w:rsid w:val="00D92825"/>
    <w:rsid w:val="00D928CB"/>
    <w:rsid w:val="00D931BB"/>
    <w:rsid w:val="00D93D55"/>
    <w:rsid w:val="00D94A9E"/>
    <w:rsid w:val="00D96007"/>
    <w:rsid w:val="00DA039A"/>
    <w:rsid w:val="00DA0523"/>
    <w:rsid w:val="00DA0698"/>
    <w:rsid w:val="00DA0999"/>
    <w:rsid w:val="00DA0CAA"/>
    <w:rsid w:val="00DA149C"/>
    <w:rsid w:val="00DA2A14"/>
    <w:rsid w:val="00DA2D9E"/>
    <w:rsid w:val="00DA3223"/>
    <w:rsid w:val="00DA3AF7"/>
    <w:rsid w:val="00DA3F41"/>
    <w:rsid w:val="00DA558C"/>
    <w:rsid w:val="00DA5FF7"/>
    <w:rsid w:val="00DA7AF6"/>
    <w:rsid w:val="00DB016E"/>
    <w:rsid w:val="00DB0B63"/>
    <w:rsid w:val="00DB1075"/>
    <w:rsid w:val="00DB2A7A"/>
    <w:rsid w:val="00DB2E0E"/>
    <w:rsid w:val="00DB5BD4"/>
    <w:rsid w:val="00DB5C80"/>
    <w:rsid w:val="00DB5CEA"/>
    <w:rsid w:val="00DB5E11"/>
    <w:rsid w:val="00DB6578"/>
    <w:rsid w:val="00DB6610"/>
    <w:rsid w:val="00DB66CD"/>
    <w:rsid w:val="00DB66E9"/>
    <w:rsid w:val="00DC010F"/>
    <w:rsid w:val="00DC0BB5"/>
    <w:rsid w:val="00DC187D"/>
    <w:rsid w:val="00DC1B82"/>
    <w:rsid w:val="00DC2255"/>
    <w:rsid w:val="00DC2D5F"/>
    <w:rsid w:val="00DC38E3"/>
    <w:rsid w:val="00DC4321"/>
    <w:rsid w:val="00DC4545"/>
    <w:rsid w:val="00DC4A78"/>
    <w:rsid w:val="00DC62F3"/>
    <w:rsid w:val="00DC651F"/>
    <w:rsid w:val="00DC6A69"/>
    <w:rsid w:val="00DC77E6"/>
    <w:rsid w:val="00DD037A"/>
    <w:rsid w:val="00DD27FD"/>
    <w:rsid w:val="00DD4571"/>
    <w:rsid w:val="00DD5006"/>
    <w:rsid w:val="00DD7B7F"/>
    <w:rsid w:val="00DE07FA"/>
    <w:rsid w:val="00DE1258"/>
    <w:rsid w:val="00DE3A79"/>
    <w:rsid w:val="00DE48B9"/>
    <w:rsid w:val="00DE5876"/>
    <w:rsid w:val="00DE6BEF"/>
    <w:rsid w:val="00DE71BC"/>
    <w:rsid w:val="00DE73B8"/>
    <w:rsid w:val="00DF164D"/>
    <w:rsid w:val="00DF1D90"/>
    <w:rsid w:val="00DF2465"/>
    <w:rsid w:val="00DF3988"/>
    <w:rsid w:val="00DF40C9"/>
    <w:rsid w:val="00DF7295"/>
    <w:rsid w:val="00DF755F"/>
    <w:rsid w:val="00E006EF"/>
    <w:rsid w:val="00E00F11"/>
    <w:rsid w:val="00E010A8"/>
    <w:rsid w:val="00E01963"/>
    <w:rsid w:val="00E01FEC"/>
    <w:rsid w:val="00E03EF4"/>
    <w:rsid w:val="00E06817"/>
    <w:rsid w:val="00E0691A"/>
    <w:rsid w:val="00E07362"/>
    <w:rsid w:val="00E07A29"/>
    <w:rsid w:val="00E07BEC"/>
    <w:rsid w:val="00E10BAB"/>
    <w:rsid w:val="00E10E0E"/>
    <w:rsid w:val="00E11755"/>
    <w:rsid w:val="00E1308C"/>
    <w:rsid w:val="00E1370A"/>
    <w:rsid w:val="00E1400F"/>
    <w:rsid w:val="00E14274"/>
    <w:rsid w:val="00E15015"/>
    <w:rsid w:val="00E16290"/>
    <w:rsid w:val="00E168B5"/>
    <w:rsid w:val="00E174D1"/>
    <w:rsid w:val="00E226D5"/>
    <w:rsid w:val="00E23ECB"/>
    <w:rsid w:val="00E27EFD"/>
    <w:rsid w:val="00E27FC1"/>
    <w:rsid w:val="00E312DF"/>
    <w:rsid w:val="00E314D9"/>
    <w:rsid w:val="00E31D0F"/>
    <w:rsid w:val="00E335FE"/>
    <w:rsid w:val="00E34DA2"/>
    <w:rsid w:val="00E35406"/>
    <w:rsid w:val="00E354D7"/>
    <w:rsid w:val="00E35629"/>
    <w:rsid w:val="00E35B51"/>
    <w:rsid w:val="00E3674C"/>
    <w:rsid w:val="00E37F3C"/>
    <w:rsid w:val="00E40DEF"/>
    <w:rsid w:val="00E41552"/>
    <w:rsid w:val="00E42060"/>
    <w:rsid w:val="00E432EC"/>
    <w:rsid w:val="00E435DF"/>
    <w:rsid w:val="00E43E0E"/>
    <w:rsid w:val="00E44A48"/>
    <w:rsid w:val="00E44B8F"/>
    <w:rsid w:val="00E44CD7"/>
    <w:rsid w:val="00E45F99"/>
    <w:rsid w:val="00E47656"/>
    <w:rsid w:val="00E50F69"/>
    <w:rsid w:val="00E545BB"/>
    <w:rsid w:val="00E55CEF"/>
    <w:rsid w:val="00E56FF7"/>
    <w:rsid w:val="00E57324"/>
    <w:rsid w:val="00E6048C"/>
    <w:rsid w:val="00E60E02"/>
    <w:rsid w:val="00E6102E"/>
    <w:rsid w:val="00E613CC"/>
    <w:rsid w:val="00E61B06"/>
    <w:rsid w:val="00E626BA"/>
    <w:rsid w:val="00E70905"/>
    <w:rsid w:val="00E71C5A"/>
    <w:rsid w:val="00E720EF"/>
    <w:rsid w:val="00E73F9A"/>
    <w:rsid w:val="00E74592"/>
    <w:rsid w:val="00E756D1"/>
    <w:rsid w:val="00E75B09"/>
    <w:rsid w:val="00E7629E"/>
    <w:rsid w:val="00E7650F"/>
    <w:rsid w:val="00E76772"/>
    <w:rsid w:val="00E76880"/>
    <w:rsid w:val="00E82605"/>
    <w:rsid w:val="00E82DCA"/>
    <w:rsid w:val="00E83CD6"/>
    <w:rsid w:val="00E84046"/>
    <w:rsid w:val="00E847C4"/>
    <w:rsid w:val="00E85E94"/>
    <w:rsid w:val="00E873F4"/>
    <w:rsid w:val="00E94163"/>
    <w:rsid w:val="00E94B45"/>
    <w:rsid w:val="00E9503F"/>
    <w:rsid w:val="00E965B2"/>
    <w:rsid w:val="00E97354"/>
    <w:rsid w:val="00EA09D0"/>
    <w:rsid w:val="00EA105D"/>
    <w:rsid w:val="00EA18FF"/>
    <w:rsid w:val="00EA2022"/>
    <w:rsid w:val="00EA32AC"/>
    <w:rsid w:val="00EA3848"/>
    <w:rsid w:val="00EA3AFF"/>
    <w:rsid w:val="00EA4C39"/>
    <w:rsid w:val="00EA4DA0"/>
    <w:rsid w:val="00EA5381"/>
    <w:rsid w:val="00EA5ACD"/>
    <w:rsid w:val="00EA7D6E"/>
    <w:rsid w:val="00EB1AED"/>
    <w:rsid w:val="00EB2F76"/>
    <w:rsid w:val="00EB3413"/>
    <w:rsid w:val="00EB349B"/>
    <w:rsid w:val="00EB3ADB"/>
    <w:rsid w:val="00EB5A30"/>
    <w:rsid w:val="00EB690F"/>
    <w:rsid w:val="00EC0716"/>
    <w:rsid w:val="00EC156E"/>
    <w:rsid w:val="00EC158B"/>
    <w:rsid w:val="00EC16B0"/>
    <w:rsid w:val="00EC1C51"/>
    <w:rsid w:val="00EC4E49"/>
    <w:rsid w:val="00EC5307"/>
    <w:rsid w:val="00EC54B8"/>
    <w:rsid w:val="00EC56BC"/>
    <w:rsid w:val="00EC6614"/>
    <w:rsid w:val="00EC748C"/>
    <w:rsid w:val="00EC7535"/>
    <w:rsid w:val="00ED037D"/>
    <w:rsid w:val="00ED3835"/>
    <w:rsid w:val="00ED3C50"/>
    <w:rsid w:val="00ED4D50"/>
    <w:rsid w:val="00ED6BBD"/>
    <w:rsid w:val="00ED77FB"/>
    <w:rsid w:val="00EE0732"/>
    <w:rsid w:val="00EE1175"/>
    <w:rsid w:val="00EE1793"/>
    <w:rsid w:val="00EE239C"/>
    <w:rsid w:val="00EE254B"/>
    <w:rsid w:val="00EE2A09"/>
    <w:rsid w:val="00EE42CE"/>
    <w:rsid w:val="00EE4493"/>
    <w:rsid w:val="00EE45FA"/>
    <w:rsid w:val="00EE5020"/>
    <w:rsid w:val="00EE6A8C"/>
    <w:rsid w:val="00EE70B8"/>
    <w:rsid w:val="00EE7206"/>
    <w:rsid w:val="00EF05D5"/>
    <w:rsid w:val="00EF1203"/>
    <w:rsid w:val="00EF17CB"/>
    <w:rsid w:val="00EF2B3A"/>
    <w:rsid w:val="00EF4352"/>
    <w:rsid w:val="00EF55B8"/>
    <w:rsid w:val="00EF7177"/>
    <w:rsid w:val="00EF7B53"/>
    <w:rsid w:val="00F004FF"/>
    <w:rsid w:val="00F00EE6"/>
    <w:rsid w:val="00F03A81"/>
    <w:rsid w:val="00F04185"/>
    <w:rsid w:val="00F043DE"/>
    <w:rsid w:val="00F06C7C"/>
    <w:rsid w:val="00F109F9"/>
    <w:rsid w:val="00F10A4F"/>
    <w:rsid w:val="00F12303"/>
    <w:rsid w:val="00F13393"/>
    <w:rsid w:val="00F15665"/>
    <w:rsid w:val="00F16638"/>
    <w:rsid w:val="00F16ABA"/>
    <w:rsid w:val="00F20507"/>
    <w:rsid w:val="00F20C63"/>
    <w:rsid w:val="00F20D83"/>
    <w:rsid w:val="00F21B72"/>
    <w:rsid w:val="00F24A56"/>
    <w:rsid w:val="00F264A5"/>
    <w:rsid w:val="00F2706F"/>
    <w:rsid w:val="00F2772D"/>
    <w:rsid w:val="00F31FC2"/>
    <w:rsid w:val="00F3255E"/>
    <w:rsid w:val="00F33B73"/>
    <w:rsid w:val="00F351BA"/>
    <w:rsid w:val="00F36EF4"/>
    <w:rsid w:val="00F36F05"/>
    <w:rsid w:val="00F37FA9"/>
    <w:rsid w:val="00F43102"/>
    <w:rsid w:val="00F43A38"/>
    <w:rsid w:val="00F43F61"/>
    <w:rsid w:val="00F44453"/>
    <w:rsid w:val="00F453B3"/>
    <w:rsid w:val="00F4615B"/>
    <w:rsid w:val="00F46577"/>
    <w:rsid w:val="00F46873"/>
    <w:rsid w:val="00F46A1E"/>
    <w:rsid w:val="00F47A0A"/>
    <w:rsid w:val="00F52448"/>
    <w:rsid w:val="00F524A3"/>
    <w:rsid w:val="00F52F39"/>
    <w:rsid w:val="00F53695"/>
    <w:rsid w:val="00F546DE"/>
    <w:rsid w:val="00F568B5"/>
    <w:rsid w:val="00F56D8A"/>
    <w:rsid w:val="00F60977"/>
    <w:rsid w:val="00F617F3"/>
    <w:rsid w:val="00F61D34"/>
    <w:rsid w:val="00F621DC"/>
    <w:rsid w:val="00F636A0"/>
    <w:rsid w:val="00F63EDD"/>
    <w:rsid w:val="00F64833"/>
    <w:rsid w:val="00F65286"/>
    <w:rsid w:val="00F66152"/>
    <w:rsid w:val="00F665DE"/>
    <w:rsid w:val="00F66A34"/>
    <w:rsid w:val="00F66EAB"/>
    <w:rsid w:val="00F701B8"/>
    <w:rsid w:val="00F70F92"/>
    <w:rsid w:val="00F71268"/>
    <w:rsid w:val="00F71C9E"/>
    <w:rsid w:val="00F72BFB"/>
    <w:rsid w:val="00F74152"/>
    <w:rsid w:val="00F7528F"/>
    <w:rsid w:val="00F753AB"/>
    <w:rsid w:val="00F75A25"/>
    <w:rsid w:val="00F76A63"/>
    <w:rsid w:val="00F80565"/>
    <w:rsid w:val="00F81880"/>
    <w:rsid w:val="00F8263A"/>
    <w:rsid w:val="00F830E6"/>
    <w:rsid w:val="00F86882"/>
    <w:rsid w:val="00F87C7A"/>
    <w:rsid w:val="00F87F60"/>
    <w:rsid w:val="00F90764"/>
    <w:rsid w:val="00F9077C"/>
    <w:rsid w:val="00F91243"/>
    <w:rsid w:val="00F9162B"/>
    <w:rsid w:val="00F9165B"/>
    <w:rsid w:val="00F91DE7"/>
    <w:rsid w:val="00F93D2A"/>
    <w:rsid w:val="00F94E88"/>
    <w:rsid w:val="00F94F73"/>
    <w:rsid w:val="00F95876"/>
    <w:rsid w:val="00F95E59"/>
    <w:rsid w:val="00F96037"/>
    <w:rsid w:val="00F964D0"/>
    <w:rsid w:val="00F96B18"/>
    <w:rsid w:val="00FA02F0"/>
    <w:rsid w:val="00FA2738"/>
    <w:rsid w:val="00FA2A16"/>
    <w:rsid w:val="00FA30FD"/>
    <w:rsid w:val="00FA3C9B"/>
    <w:rsid w:val="00FA519C"/>
    <w:rsid w:val="00FA5351"/>
    <w:rsid w:val="00FA5C1B"/>
    <w:rsid w:val="00FA664A"/>
    <w:rsid w:val="00FA6AAD"/>
    <w:rsid w:val="00FB0A10"/>
    <w:rsid w:val="00FB12DC"/>
    <w:rsid w:val="00FB1A42"/>
    <w:rsid w:val="00FB2228"/>
    <w:rsid w:val="00FB3D70"/>
    <w:rsid w:val="00FC0190"/>
    <w:rsid w:val="00FC0279"/>
    <w:rsid w:val="00FC0357"/>
    <w:rsid w:val="00FC113B"/>
    <w:rsid w:val="00FC37E3"/>
    <w:rsid w:val="00FC38DE"/>
    <w:rsid w:val="00FC482F"/>
    <w:rsid w:val="00FC52D6"/>
    <w:rsid w:val="00FC58D7"/>
    <w:rsid w:val="00FC5C4A"/>
    <w:rsid w:val="00FC67EB"/>
    <w:rsid w:val="00FC71EE"/>
    <w:rsid w:val="00FD0805"/>
    <w:rsid w:val="00FD08E7"/>
    <w:rsid w:val="00FD10FB"/>
    <w:rsid w:val="00FD17C0"/>
    <w:rsid w:val="00FD2800"/>
    <w:rsid w:val="00FD3D73"/>
    <w:rsid w:val="00FD42B7"/>
    <w:rsid w:val="00FD586A"/>
    <w:rsid w:val="00FD5AC8"/>
    <w:rsid w:val="00FD68B4"/>
    <w:rsid w:val="00FD72E7"/>
    <w:rsid w:val="00FD76D9"/>
    <w:rsid w:val="00FE1709"/>
    <w:rsid w:val="00FE22F2"/>
    <w:rsid w:val="00FE2746"/>
    <w:rsid w:val="00FE3591"/>
    <w:rsid w:val="00FE3B16"/>
    <w:rsid w:val="00FE4F38"/>
    <w:rsid w:val="00FF248A"/>
    <w:rsid w:val="00FF2766"/>
    <w:rsid w:val="00FF3036"/>
    <w:rsid w:val="00FF3C6F"/>
    <w:rsid w:val="00FF3EA3"/>
    <w:rsid w:val="00FF5DEB"/>
    <w:rsid w:val="00FF6725"/>
    <w:rsid w:val="00FF674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A59F8"/>
  <w15:docId w15:val="{2C15DA5E-3259-4584-892A-4B796C78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2C21C9"/>
    <w:pPr>
      <w:ind w:left="720"/>
      <w:contextualSpacing/>
    </w:pPr>
  </w:style>
  <w:style w:type="character" w:styleId="FootnoteReference">
    <w:name w:val="footnote reference"/>
    <w:aliases w:val="Error-Fußnotenzeichen5,Error-Fußnotenzeichen6,Error-Fußnotenzeichen3,Ref,de nota al pie,16 Point,Superscript 6 Point,Footnote Ref,ftref,Heading 1 + Times New Roman,11 pt,Centered,Line spacing:  At least 16 pt,callout"/>
    <w:basedOn w:val="DefaultParagraphFont"/>
    <w:unhideWhenUsed/>
    <w:rsid w:val="00A56B03"/>
    <w:rPr>
      <w:vertAlign w:val="superscript"/>
    </w:rPr>
  </w:style>
  <w:style w:type="character" w:styleId="Hyperlink">
    <w:name w:val="Hyperlink"/>
    <w:basedOn w:val="DefaultParagraphFont"/>
    <w:uiPriority w:val="99"/>
    <w:unhideWhenUsed/>
    <w:rsid w:val="00A56B03"/>
    <w:rPr>
      <w:color w:val="0000FF" w:themeColor="hyperlink"/>
      <w:u w:val="single"/>
    </w:rPr>
  </w:style>
  <w:style w:type="character" w:customStyle="1" w:styleId="FootnoteTextChar">
    <w:name w:val="Footnote Text Char"/>
    <w:basedOn w:val="DefaultParagraphFont"/>
    <w:link w:val="FootnoteText"/>
    <w:uiPriority w:val="99"/>
    <w:semiHidden/>
    <w:rsid w:val="007E5CDE"/>
    <w:rPr>
      <w:rFonts w:ascii="Arial" w:eastAsia="SimSun" w:hAnsi="Arial" w:cs="Arial"/>
      <w:sz w:val="18"/>
      <w:lang w:val="en-US" w:eastAsia="zh-CN"/>
    </w:rPr>
  </w:style>
  <w:style w:type="character" w:styleId="FollowedHyperlink">
    <w:name w:val="FollowedHyperlink"/>
    <w:basedOn w:val="DefaultParagraphFont"/>
    <w:semiHidden/>
    <w:unhideWhenUsed/>
    <w:rsid w:val="008765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37CAE"/>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137CAE"/>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137CAE"/>
    <w:rPr>
      <w:rFonts w:asciiTheme="minorHAnsi" w:eastAsiaTheme="minorHAnsi" w:hAnsiTheme="minorHAnsi" w:cstheme="minorBidi"/>
      <w:b/>
      <w:bCs/>
      <w:sz w:val="18"/>
      <w:lang w:val="en-US" w:eastAsia="en-US"/>
    </w:rPr>
  </w:style>
  <w:style w:type="character" w:styleId="CommentReference">
    <w:name w:val="annotation reference"/>
    <w:basedOn w:val="DefaultParagraphFont"/>
    <w:semiHidden/>
    <w:unhideWhenUsed/>
    <w:rsid w:val="004B0A95"/>
    <w:rPr>
      <w:sz w:val="16"/>
      <w:szCs w:val="16"/>
    </w:rPr>
  </w:style>
  <w:style w:type="paragraph" w:styleId="BalloonText">
    <w:name w:val="Balloon Text"/>
    <w:basedOn w:val="Normal"/>
    <w:link w:val="BalloonTextChar"/>
    <w:semiHidden/>
    <w:unhideWhenUsed/>
    <w:rsid w:val="004B0A95"/>
    <w:rPr>
      <w:rFonts w:ascii="Segoe UI" w:hAnsi="Segoe UI" w:cs="Segoe UI"/>
      <w:sz w:val="18"/>
      <w:szCs w:val="18"/>
    </w:rPr>
  </w:style>
  <w:style w:type="character" w:customStyle="1" w:styleId="BalloonTextChar">
    <w:name w:val="Balloon Text Char"/>
    <w:basedOn w:val="DefaultParagraphFont"/>
    <w:link w:val="BalloonText"/>
    <w:semiHidden/>
    <w:rsid w:val="004B0A95"/>
    <w:rPr>
      <w:rFonts w:ascii="Segoe UI" w:eastAsia="SimSun" w:hAnsi="Segoe UI" w:cs="Segoe UI"/>
      <w:sz w:val="18"/>
      <w:szCs w:val="18"/>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E626BA"/>
    <w:rPr>
      <w:rFonts w:ascii="Arial" w:eastAsia="SimSun" w:hAnsi="Arial" w:cs="Arial"/>
      <w:sz w:val="22"/>
      <w:lang w:val="en-US" w:eastAsia="zh-CN"/>
    </w:rPr>
  </w:style>
  <w:style w:type="paragraph" w:customStyle="1" w:styleId="Default">
    <w:name w:val="Default"/>
    <w:basedOn w:val="Normal"/>
    <w:rsid w:val="00D928CB"/>
    <w:pPr>
      <w:autoSpaceDE w:val="0"/>
      <w:autoSpaceDN w:val="0"/>
    </w:pPr>
    <w:rPr>
      <w:rFonts w:eastAsiaTheme="minorHAnsi"/>
      <w:color w:val="000000"/>
      <w:sz w:val="24"/>
      <w:szCs w:val="24"/>
      <w:lang w:eastAsia="en-US"/>
    </w:rPr>
  </w:style>
  <w:style w:type="character" w:customStyle="1" w:styleId="ui-provider">
    <w:name w:val="ui-provider"/>
    <w:basedOn w:val="DefaultParagraphFont"/>
    <w:rsid w:val="00AE3FC0"/>
  </w:style>
  <w:style w:type="paragraph" w:styleId="NoSpacing">
    <w:name w:val="No Spacing"/>
    <w:uiPriority w:val="1"/>
    <w:qFormat/>
    <w:rsid w:val="00A923C0"/>
    <w:rPr>
      <w:rFonts w:ascii="Arial" w:hAnsi="Arial" w:cs="Arial"/>
      <w:sz w:val="22"/>
      <w:lang w:val="en-US" w:eastAsia="zh-CN"/>
    </w:rPr>
  </w:style>
  <w:style w:type="paragraph" w:styleId="Revision">
    <w:name w:val="Revision"/>
    <w:hidden/>
    <w:uiPriority w:val="99"/>
    <w:semiHidden/>
    <w:rsid w:val="00203412"/>
    <w:rPr>
      <w:rFonts w:ascii="Arial" w:hAnsi="Arial" w:cs="Arial"/>
      <w:sz w:val="22"/>
      <w:lang w:val="en-US" w:eastAsia="zh-CN"/>
    </w:rPr>
  </w:style>
  <w:style w:type="paragraph" w:customStyle="1" w:styleId="Heading2rev">
    <w:name w:val="Heading 2rev"/>
    <w:basedOn w:val="Heading2"/>
    <w:link w:val="Heading2revChar"/>
    <w:qFormat/>
    <w:rsid w:val="000C1401"/>
    <w:pPr>
      <w:keepLines/>
      <w:spacing w:before="0" w:after="0"/>
    </w:pPr>
    <w:rPr>
      <w:rFonts w:ascii="Arial Bold" w:hAnsi="Arial Bold"/>
      <w:b/>
      <w:i/>
      <w:caps w:val="0"/>
      <w:szCs w:val="22"/>
    </w:rPr>
  </w:style>
  <w:style w:type="character" w:customStyle="1" w:styleId="Heading2Char">
    <w:name w:val="Heading 2 Char"/>
    <w:basedOn w:val="DefaultParagraphFont"/>
    <w:link w:val="Heading2"/>
    <w:rsid w:val="000C1401"/>
    <w:rPr>
      <w:rFonts w:ascii="Arial" w:eastAsia="SimSun" w:hAnsi="Arial" w:cs="Arial"/>
      <w:bCs/>
      <w:iCs/>
      <w:caps/>
      <w:sz w:val="22"/>
      <w:szCs w:val="28"/>
      <w:lang w:val="en-US" w:eastAsia="zh-CN"/>
    </w:rPr>
  </w:style>
  <w:style w:type="character" w:customStyle="1" w:styleId="Heading2revChar">
    <w:name w:val="Heading 2rev Char"/>
    <w:basedOn w:val="Heading2Char"/>
    <w:link w:val="Heading2rev"/>
    <w:rsid w:val="000C1401"/>
    <w:rPr>
      <w:rFonts w:ascii="Arial Bold" w:eastAsia="SimSun" w:hAnsi="Arial Bold" w:cs="Arial"/>
      <w:b/>
      <w:bCs/>
      <w:i/>
      <w:iCs/>
      <w:caps w:val="0"/>
      <w:sz w:val="22"/>
      <w:szCs w:val="22"/>
      <w:lang w:val="en-US" w:eastAsia="zh-CN"/>
    </w:rPr>
  </w:style>
  <w:style w:type="character" w:styleId="UnresolvedMention">
    <w:name w:val="Unresolved Mention"/>
    <w:basedOn w:val="DefaultParagraphFont"/>
    <w:uiPriority w:val="99"/>
    <w:semiHidden/>
    <w:unhideWhenUsed/>
    <w:rsid w:val="00B1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889">
      <w:bodyDiv w:val="1"/>
      <w:marLeft w:val="0"/>
      <w:marRight w:val="0"/>
      <w:marTop w:val="0"/>
      <w:marBottom w:val="0"/>
      <w:divBdr>
        <w:top w:val="none" w:sz="0" w:space="0" w:color="auto"/>
        <w:left w:val="none" w:sz="0" w:space="0" w:color="auto"/>
        <w:bottom w:val="none" w:sz="0" w:space="0" w:color="auto"/>
        <w:right w:val="none" w:sz="0" w:space="0" w:color="auto"/>
      </w:divBdr>
    </w:div>
    <w:div w:id="180045588">
      <w:bodyDiv w:val="1"/>
      <w:marLeft w:val="0"/>
      <w:marRight w:val="0"/>
      <w:marTop w:val="0"/>
      <w:marBottom w:val="0"/>
      <w:divBdr>
        <w:top w:val="none" w:sz="0" w:space="0" w:color="auto"/>
        <w:left w:val="none" w:sz="0" w:space="0" w:color="auto"/>
        <w:bottom w:val="none" w:sz="0" w:space="0" w:color="auto"/>
        <w:right w:val="none" w:sz="0" w:space="0" w:color="auto"/>
      </w:divBdr>
    </w:div>
    <w:div w:id="265969396">
      <w:bodyDiv w:val="1"/>
      <w:marLeft w:val="0"/>
      <w:marRight w:val="0"/>
      <w:marTop w:val="0"/>
      <w:marBottom w:val="0"/>
      <w:divBdr>
        <w:top w:val="none" w:sz="0" w:space="0" w:color="auto"/>
        <w:left w:val="none" w:sz="0" w:space="0" w:color="auto"/>
        <w:bottom w:val="none" w:sz="0" w:space="0" w:color="auto"/>
        <w:right w:val="none" w:sz="0" w:space="0" w:color="auto"/>
      </w:divBdr>
    </w:div>
    <w:div w:id="355813661">
      <w:bodyDiv w:val="1"/>
      <w:marLeft w:val="0"/>
      <w:marRight w:val="0"/>
      <w:marTop w:val="0"/>
      <w:marBottom w:val="0"/>
      <w:divBdr>
        <w:top w:val="none" w:sz="0" w:space="0" w:color="auto"/>
        <w:left w:val="none" w:sz="0" w:space="0" w:color="auto"/>
        <w:bottom w:val="none" w:sz="0" w:space="0" w:color="auto"/>
        <w:right w:val="none" w:sz="0" w:space="0" w:color="auto"/>
      </w:divBdr>
    </w:div>
    <w:div w:id="388647389">
      <w:bodyDiv w:val="1"/>
      <w:marLeft w:val="0"/>
      <w:marRight w:val="0"/>
      <w:marTop w:val="0"/>
      <w:marBottom w:val="0"/>
      <w:divBdr>
        <w:top w:val="none" w:sz="0" w:space="0" w:color="auto"/>
        <w:left w:val="none" w:sz="0" w:space="0" w:color="auto"/>
        <w:bottom w:val="none" w:sz="0" w:space="0" w:color="auto"/>
        <w:right w:val="none" w:sz="0" w:space="0" w:color="auto"/>
      </w:divBdr>
    </w:div>
    <w:div w:id="473569777">
      <w:bodyDiv w:val="1"/>
      <w:marLeft w:val="0"/>
      <w:marRight w:val="0"/>
      <w:marTop w:val="0"/>
      <w:marBottom w:val="0"/>
      <w:divBdr>
        <w:top w:val="none" w:sz="0" w:space="0" w:color="auto"/>
        <w:left w:val="none" w:sz="0" w:space="0" w:color="auto"/>
        <w:bottom w:val="none" w:sz="0" w:space="0" w:color="auto"/>
        <w:right w:val="none" w:sz="0" w:space="0" w:color="auto"/>
      </w:divBdr>
    </w:div>
    <w:div w:id="509835749">
      <w:bodyDiv w:val="1"/>
      <w:marLeft w:val="0"/>
      <w:marRight w:val="0"/>
      <w:marTop w:val="0"/>
      <w:marBottom w:val="0"/>
      <w:divBdr>
        <w:top w:val="none" w:sz="0" w:space="0" w:color="auto"/>
        <w:left w:val="none" w:sz="0" w:space="0" w:color="auto"/>
        <w:bottom w:val="none" w:sz="0" w:space="0" w:color="auto"/>
        <w:right w:val="none" w:sz="0" w:space="0" w:color="auto"/>
      </w:divBdr>
    </w:div>
    <w:div w:id="600339997">
      <w:bodyDiv w:val="1"/>
      <w:marLeft w:val="0"/>
      <w:marRight w:val="0"/>
      <w:marTop w:val="0"/>
      <w:marBottom w:val="0"/>
      <w:divBdr>
        <w:top w:val="none" w:sz="0" w:space="0" w:color="auto"/>
        <w:left w:val="none" w:sz="0" w:space="0" w:color="auto"/>
        <w:bottom w:val="none" w:sz="0" w:space="0" w:color="auto"/>
        <w:right w:val="none" w:sz="0" w:space="0" w:color="auto"/>
      </w:divBdr>
    </w:div>
    <w:div w:id="613750204">
      <w:bodyDiv w:val="1"/>
      <w:marLeft w:val="0"/>
      <w:marRight w:val="0"/>
      <w:marTop w:val="0"/>
      <w:marBottom w:val="0"/>
      <w:divBdr>
        <w:top w:val="none" w:sz="0" w:space="0" w:color="auto"/>
        <w:left w:val="none" w:sz="0" w:space="0" w:color="auto"/>
        <w:bottom w:val="none" w:sz="0" w:space="0" w:color="auto"/>
        <w:right w:val="none" w:sz="0" w:space="0" w:color="auto"/>
      </w:divBdr>
    </w:div>
    <w:div w:id="693267123">
      <w:bodyDiv w:val="1"/>
      <w:marLeft w:val="0"/>
      <w:marRight w:val="0"/>
      <w:marTop w:val="0"/>
      <w:marBottom w:val="0"/>
      <w:divBdr>
        <w:top w:val="none" w:sz="0" w:space="0" w:color="auto"/>
        <w:left w:val="none" w:sz="0" w:space="0" w:color="auto"/>
        <w:bottom w:val="none" w:sz="0" w:space="0" w:color="auto"/>
        <w:right w:val="none" w:sz="0" w:space="0" w:color="auto"/>
      </w:divBdr>
    </w:div>
    <w:div w:id="713968461">
      <w:bodyDiv w:val="1"/>
      <w:marLeft w:val="0"/>
      <w:marRight w:val="0"/>
      <w:marTop w:val="0"/>
      <w:marBottom w:val="0"/>
      <w:divBdr>
        <w:top w:val="none" w:sz="0" w:space="0" w:color="auto"/>
        <w:left w:val="none" w:sz="0" w:space="0" w:color="auto"/>
        <w:bottom w:val="none" w:sz="0" w:space="0" w:color="auto"/>
        <w:right w:val="none" w:sz="0" w:space="0" w:color="auto"/>
      </w:divBdr>
    </w:div>
    <w:div w:id="724138591">
      <w:bodyDiv w:val="1"/>
      <w:marLeft w:val="0"/>
      <w:marRight w:val="0"/>
      <w:marTop w:val="0"/>
      <w:marBottom w:val="0"/>
      <w:divBdr>
        <w:top w:val="none" w:sz="0" w:space="0" w:color="auto"/>
        <w:left w:val="none" w:sz="0" w:space="0" w:color="auto"/>
        <w:bottom w:val="none" w:sz="0" w:space="0" w:color="auto"/>
        <w:right w:val="none" w:sz="0" w:space="0" w:color="auto"/>
      </w:divBdr>
    </w:div>
    <w:div w:id="763652172">
      <w:bodyDiv w:val="1"/>
      <w:marLeft w:val="0"/>
      <w:marRight w:val="0"/>
      <w:marTop w:val="0"/>
      <w:marBottom w:val="0"/>
      <w:divBdr>
        <w:top w:val="none" w:sz="0" w:space="0" w:color="auto"/>
        <w:left w:val="none" w:sz="0" w:space="0" w:color="auto"/>
        <w:bottom w:val="none" w:sz="0" w:space="0" w:color="auto"/>
        <w:right w:val="none" w:sz="0" w:space="0" w:color="auto"/>
      </w:divBdr>
    </w:div>
    <w:div w:id="1117988636">
      <w:bodyDiv w:val="1"/>
      <w:marLeft w:val="0"/>
      <w:marRight w:val="0"/>
      <w:marTop w:val="0"/>
      <w:marBottom w:val="0"/>
      <w:divBdr>
        <w:top w:val="none" w:sz="0" w:space="0" w:color="auto"/>
        <w:left w:val="none" w:sz="0" w:space="0" w:color="auto"/>
        <w:bottom w:val="none" w:sz="0" w:space="0" w:color="auto"/>
        <w:right w:val="none" w:sz="0" w:space="0" w:color="auto"/>
      </w:divBdr>
    </w:div>
    <w:div w:id="1244221931">
      <w:bodyDiv w:val="1"/>
      <w:marLeft w:val="0"/>
      <w:marRight w:val="0"/>
      <w:marTop w:val="0"/>
      <w:marBottom w:val="0"/>
      <w:divBdr>
        <w:top w:val="none" w:sz="0" w:space="0" w:color="auto"/>
        <w:left w:val="none" w:sz="0" w:space="0" w:color="auto"/>
        <w:bottom w:val="none" w:sz="0" w:space="0" w:color="auto"/>
        <w:right w:val="none" w:sz="0" w:space="0" w:color="auto"/>
      </w:divBdr>
    </w:div>
    <w:div w:id="1251037991">
      <w:bodyDiv w:val="1"/>
      <w:marLeft w:val="0"/>
      <w:marRight w:val="0"/>
      <w:marTop w:val="0"/>
      <w:marBottom w:val="0"/>
      <w:divBdr>
        <w:top w:val="none" w:sz="0" w:space="0" w:color="auto"/>
        <w:left w:val="none" w:sz="0" w:space="0" w:color="auto"/>
        <w:bottom w:val="none" w:sz="0" w:space="0" w:color="auto"/>
        <w:right w:val="none" w:sz="0" w:space="0" w:color="auto"/>
      </w:divBdr>
    </w:div>
    <w:div w:id="1288707649">
      <w:bodyDiv w:val="1"/>
      <w:marLeft w:val="0"/>
      <w:marRight w:val="0"/>
      <w:marTop w:val="0"/>
      <w:marBottom w:val="0"/>
      <w:divBdr>
        <w:top w:val="none" w:sz="0" w:space="0" w:color="auto"/>
        <w:left w:val="none" w:sz="0" w:space="0" w:color="auto"/>
        <w:bottom w:val="none" w:sz="0" w:space="0" w:color="auto"/>
        <w:right w:val="none" w:sz="0" w:space="0" w:color="auto"/>
      </w:divBdr>
      <w:divsChild>
        <w:div w:id="1474903191">
          <w:marLeft w:val="0"/>
          <w:marRight w:val="240"/>
          <w:marTop w:val="0"/>
          <w:marBottom w:val="0"/>
          <w:divBdr>
            <w:top w:val="none" w:sz="0" w:space="0" w:color="auto"/>
            <w:left w:val="none" w:sz="0" w:space="0" w:color="auto"/>
            <w:bottom w:val="none" w:sz="0" w:space="0" w:color="auto"/>
            <w:right w:val="none" w:sz="0" w:space="0" w:color="auto"/>
          </w:divBdr>
          <w:divsChild>
            <w:div w:id="736128150">
              <w:marLeft w:val="0"/>
              <w:marRight w:val="0"/>
              <w:marTop w:val="0"/>
              <w:marBottom w:val="0"/>
              <w:divBdr>
                <w:top w:val="none" w:sz="0" w:space="0" w:color="auto"/>
                <w:left w:val="none" w:sz="0" w:space="0" w:color="auto"/>
                <w:bottom w:val="none" w:sz="0" w:space="0" w:color="auto"/>
                <w:right w:val="none" w:sz="0" w:space="0" w:color="auto"/>
              </w:divBdr>
              <w:divsChild>
                <w:div w:id="67963279">
                  <w:marLeft w:val="0"/>
                  <w:marRight w:val="0"/>
                  <w:marTop w:val="0"/>
                  <w:marBottom w:val="0"/>
                  <w:divBdr>
                    <w:top w:val="none" w:sz="0" w:space="0" w:color="auto"/>
                    <w:left w:val="none" w:sz="0" w:space="0" w:color="auto"/>
                    <w:bottom w:val="none" w:sz="0" w:space="0" w:color="auto"/>
                    <w:right w:val="none" w:sz="0" w:space="0" w:color="auto"/>
                  </w:divBdr>
                  <w:divsChild>
                    <w:div w:id="1354765664">
                      <w:marLeft w:val="0"/>
                      <w:marRight w:val="0"/>
                      <w:marTop w:val="0"/>
                      <w:marBottom w:val="0"/>
                      <w:divBdr>
                        <w:top w:val="none" w:sz="0" w:space="0" w:color="auto"/>
                        <w:left w:val="none" w:sz="0" w:space="0" w:color="auto"/>
                        <w:bottom w:val="none" w:sz="0" w:space="0" w:color="auto"/>
                        <w:right w:val="none" w:sz="0" w:space="0" w:color="auto"/>
                      </w:divBdr>
                      <w:divsChild>
                        <w:div w:id="2101483734">
                          <w:marLeft w:val="0"/>
                          <w:marRight w:val="0"/>
                          <w:marTop w:val="0"/>
                          <w:marBottom w:val="0"/>
                          <w:divBdr>
                            <w:top w:val="none" w:sz="0" w:space="0" w:color="auto"/>
                            <w:left w:val="none" w:sz="0" w:space="0" w:color="auto"/>
                            <w:bottom w:val="none" w:sz="0" w:space="0" w:color="auto"/>
                            <w:right w:val="none" w:sz="0" w:space="0" w:color="auto"/>
                          </w:divBdr>
                          <w:divsChild>
                            <w:div w:id="1437019299">
                              <w:marLeft w:val="0"/>
                              <w:marRight w:val="0"/>
                              <w:marTop w:val="0"/>
                              <w:marBottom w:val="0"/>
                              <w:divBdr>
                                <w:top w:val="none" w:sz="0" w:space="0" w:color="auto"/>
                                <w:left w:val="none" w:sz="0" w:space="0" w:color="auto"/>
                                <w:bottom w:val="none" w:sz="0" w:space="0" w:color="auto"/>
                                <w:right w:val="none" w:sz="0" w:space="0" w:color="auto"/>
                              </w:divBdr>
                              <w:divsChild>
                                <w:div w:id="1727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46110">
      <w:bodyDiv w:val="1"/>
      <w:marLeft w:val="0"/>
      <w:marRight w:val="0"/>
      <w:marTop w:val="0"/>
      <w:marBottom w:val="0"/>
      <w:divBdr>
        <w:top w:val="none" w:sz="0" w:space="0" w:color="auto"/>
        <w:left w:val="none" w:sz="0" w:space="0" w:color="auto"/>
        <w:bottom w:val="none" w:sz="0" w:space="0" w:color="auto"/>
        <w:right w:val="none" w:sz="0" w:space="0" w:color="auto"/>
      </w:divBdr>
    </w:div>
    <w:div w:id="1421751247">
      <w:bodyDiv w:val="1"/>
      <w:marLeft w:val="0"/>
      <w:marRight w:val="0"/>
      <w:marTop w:val="0"/>
      <w:marBottom w:val="0"/>
      <w:divBdr>
        <w:top w:val="none" w:sz="0" w:space="0" w:color="auto"/>
        <w:left w:val="none" w:sz="0" w:space="0" w:color="auto"/>
        <w:bottom w:val="none" w:sz="0" w:space="0" w:color="auto"/>
        <w:right w:val="none" w:sz="0" w:space="0" w:color="auto"/>
      </w:divBdr>
    </w:div>
    <w:div w:id="1534340220">
      <w:bodyDiv w:val="1"/>
      <w:marLeft w:val="0"/>
      <w:marRight w:val="0"/>
      <w:marTop w:val="0"/>
      <w:marBottom w:val="0"/>
      <w:divBdr>
        <w:top w:val="none" w:sz="0" w:space="0" w:color="auto"/>
        <w:left w:val="none" w:sz="0" w:space="0" w:color="auto"/>
        <w:bottom w:val="none" w:sz="0" w:space="0" w:color="auto"/>
        <w:right w:val="none" w:sz="0" w:space="0" w:color="auto"/>
      </w:divBdr>
    </w:div>
    <w:div w:id="1815368448">
      <w:bodyDiv w:val="1"/>
      <w:marLeft w:val="0"/>
      <w:marRight w:val="0"/>
      <w:marTop w:val="0"/>
      <w:marBottom w:val="0"/>
      <w:divBdr>
        <w:top w:val="none" w:sz="0" w:space="0" w:color="auto"/>
        <w:left w:val="none" w:sz="0" w:space="0" w:color="auto"/>
        <w:bottom w:val="none" w:sz="0" w:space="0" w:color="auto"/>
        <w:right w:val="none" w:sz="0" w:space="0" w:color="auto"/>
      </w:divBdr>
    </w:div>
    <w:div w:id="1820877170">
      <w:bodyDiv w:val="1"/>
      <w:marLeft w:val="0"/>
      <w:marRight w:val="0"/>
      <w:marTop w:val="0"/>
      <w:marBottom w:val="0"/>
      <w:divBdr>
        <w:top w:val="none" w:sz="0" w:space="0" w:color="auto"/>
        <w:left w:val="none" w:sz="0" w:space="0" w:color="auto"/>
        <w:bottom w:val="none" w:sz="0" w:space="0" w:color="auto"/>
        <w:right w:val="none" w:sz="0" w:space="0" w:color="auto"/>
      </w:divBdr>
    </w:div>
    <w:div w:id="1930238365">
      <w:bodyDiv w:val="1"/>
      <w:marLeft w:val="0"/>
      <w:marRight w:val="0"/>
      <w:marTop w:val="0"/>
      <w:marBottom w:val="0"/>
      <w:divBdr>
        <w:top w:val="none" w:sz="0" w:space="0" w:color="auto"/>
        <w:left w:val="none" w:sz="0" w:space="0" w:color="auto"/>
        <w:bottom w:val="none" w:sz="0" w:space="0" w:color="auto"/>
        <w:right w:val="none" w:sz="0" w:space="0" w:color="auto"/>
      </w:divBdr>
    </w:div>
    <w:div w:id="1935017899">
      <w:bodyDiv w:val="1"/>
      <w:marLeft w:val="0"/>
      <w:marRight w:val="0"/>
      <w:marTop w:val="0"/>
      <w:marBottom w:val="0"/>
      <w:divBdr>
        <w:top w:val="none" w:sz="0" w:space="0" w:color="auto"/>
        <w:left w:val="none" w:sz="0" w:space="0" w:color="auto"/>
        <w:bottom w:val="none" w:sz="0" w:space="0" w:color="auto"/>
        <w:right w:val="none" w:sz="0" w:space="0" w:color="auto"/>
      </w:divBdr>
    </w:div>
    <w:div w:id="1962607791">
      <w:bodyDiv w:val="1"/>
      <w:marLeft w:val="0"/>
      <w:marRight w:val="0"/>
      <w:marTop w:val="0"/>
      <w:marBottom w:val="0"/>
      <w:divBdr>
        <w:top w:val="none" w:sz="0" w:space="0" w:color="auto"/>
        <w:left w:val="none" w:sz="0" w:space="0" w:color="auto"/>
        <w:bottom w:val="none" w:sz="0" w:space="0" w:color="auto"/>
        <w:right w:val="none" w:sz="0" w:space="0" w:color="auto"/>
      </w:divBdr>
    </w:div>
    <w:div w:id="1967422771">
      <w:bodyDiv w:val="1"/>
      <w:marLeft w:val="0"/>
      <w:marRight w:val="0"/>
      <w:marTop w:val="0"/>
      <w:marBottom w:val="0"/>
      <w:divBdr>
        <w:top w:val="none" w:sz="0" w:space="0" w:color="auto"/>
        <w:left w:val="none" w:sz="0" w:space="0" w:color="auto"/>
        <w:bottom w:val="none" w:sz="0" w:space="0" w:color="auto"/>
        <w:right w:val="none" w:sz="0" w:space="0" w:color="auto"/>
      </w:divBdr>
      <w:divsChild>
        <w:div w:id="1901548542">
          <w:marLeft w:val="0"/>
          <w:marRight w:val="0"/>
          <w:marTop w:val="0"/>
          <w:marBottom w:val="0"/>
          <w:divBdr>
            <w:top w:val="none" w:sz="0" w:space="0" w:color="auto"/>
            <w:left w:val="none" w:sz="0" w:space="0" w:color="auto"/>
            <w:bottom w:val="none" w:sz="0" w:space="0" w:color="auto"/>
            <w:right w:val="none" w:sz="0" w:space="0" w:color="auto"/>
          </w:divBdr>
          <w:divsChild>
            <w:div w:id="2069717202">
              <w:marLeft w:val="0"/>
              <w:marRight w:val="0"/>
              <w:marTop w:val="0"/>
              <w:marBottom w:val="0"/>
              <w:divBdr>
                <w:top w:val="none" w:sz="0" w:space="0" w:color="auto"/>
                <w:left w:val="none" w:sz="0" w:space="0" w:color="auto"/>
                <w:bottom w:val="none" w:sz="0" w:space="0" w:color="auto"/>
                <w:right w:val="none" w:sz="0" w:space="0" w:color="auto"/>
              </w:divBdr>
              <w:divsChild>
                <w:div w:id="1208566054">
                  <w:marLeft w:val="0"/>
                  <w:marRight w:val="0"/>
                  <w:marTop w:val="0"/>
                  <w:marBottom w:val="0"/>
                  <w:divBdr>
                    <w:top w:val="none" w:sz="0" w:space="0" w:color="auto"/>
                    <w:left w:val="none" w:sz="0" w:space="0" w:color="auto"/>
                    <w:bottom w:val="none" w:sz="0" w:space="0" w:color="auto"/>
                    <w:right w:val="none" w:sz="0" w:space="0" w:color="auto"/>
                  </w:divBdr>
                  <w:divsChild>
                    <w:div w:id="681786908">
                      <w:marLeft w:val="0"/>
                      <w:marRight w:val="0"/>
                      <w:marTop w:val="0"/>
                      <w:marBottom w:val="0"/>
                      <w:divBdr>
                        <w:top w:val="none" w:sz="0" w:space="0" w:color="auto"/>
                        <w:left w:val="none" w:sz="0" w:space="0" w:color="auto"/>
                        <w:bottom w:val="none" w:sz="0" w:space="0" w:color="auto"/>
                        <w:right w:val="none" w:sz="0" w:space="0" w:color="auto"/>
                      </w:divBdr>
                      <w:divsChild>
                        <w:div w:id="952052486">
                          <w:marLeft w:val="0"/>
                          <w:marRight w:val="0"/>
                          <w:marTop w:val="60"/>
                          <w:marBottom w:val="300"/>
                          <w:divBdr>
                            <w:top w:val="none" w:sz="0" w:space="0" w:color="auto"/>
                            <w:left w:val="none" w:sz="0" w:space="0" w:color="auto"/>
                            <w:bottom w:val="none" w:sz="0" w:space="0" w:color="auto"/>
                            <w:right w:val="none" w:sz="0" w:space="0" w:color="auto"/>
                          </w:divBdr>
                          <w:divsChild>
                            <w:div w:id="723527511">
                              <w:marLeft w:val="0"/>
                              <w:marRight w:val="240"/>
                              <w:marTop w:val="0"/>
                              <w:marBottom w:val="0"/>
                              <w:divBdr>
                                <w:top w:val="none" w:sz="0" w:space="0" w:color="auto"/>
                                <w:left w:val="none" w:sz="0" w:space="0" w:color="auto"/>
                                <w:bottom w:val="none" w:sz="0" w:space="0" w:color="auto"/>
                                <w:right w:val="none" w:sz="0" w:space="0" w:color="auto"/>
                              </w:divBdr>
                              <w:divsChild>
                                <w:div w:id="2136217713">
                                  <w:marLeft w:val="0"/>
                                  <w:marRight w:val="0"/>
                                  <w:marTop w:val="0"/>
                                  <w:marBottom w:val="0"/>
                                  <w:divBdr>
                                    <w:top w:val="none" w:sz="0" w:space="0" w:color="auto"/>
                                    <w:left w:val="none" w:sz="0" w:space="0" w:color="auto"/>
                                    <w:bottom w:val="none" w:sz="0" w:space="0" w:color="auto"/>
                                    <w:right w:val="none" w:sz="0" w:space="0" w:color="auto"/>
                                  </w:divBdr>
                                  <w:divsChild>
                                    <w:div w:id="1442145380">
                                      <w:marLeft w:val="0"/>
                                      <w:marRight w:val="0"/>
                                      <w:marTop w:val="0"/>
                                      <w:marBottom w:val="0"/>
                                      <w:divBdr>
                                        <w:top w:val="none" w:sz="0" w:space="0" w:color="auto"/>
                                        <w:left w:val="none" w:sz="0" w:space="0" w:color="auto"/>
                                        <w:bottom w:val="none" w:sz="0" w:space="0" w:color="auto"/>
                                        <w:right w:val="none" w:sz="0" w:space="0" w:color="auto"/>
                                      </w:divBdr>
                                      <w:divsChild>
                                        <w:div w:id="496457172">
                                          <w:marLeft w:val="0"/>
                                          <w:marRight w:val="0"/>
                                          <w:marTop w:val="0"/>
                                          <w:marBottom w:val="0"/>
                                          <w:divBdr>
                                            <w:top w:val="none" w:sz="0" w:space="0" w:color="auto"/>
                                            <w:left w:val="none" w:sz="0" w:space="0" w:color="auto"/>
                                            <w:bottom w:val="none" w:sz="0" w:space="0" w:color="auto"/>
                                            <w:right w:val="none" w:sz="0" w:space="0" w:color="auto"/>
                                          </w:divBdr>
                                          <w:divsChild>
                                            <w:div w:id="1794902958">
                                              <w:marLeft w:val="0"/>
                                              <w:marRight w:val="0"/>
                                              <w:marTop w:val="0"/>
                                              <w:marBottom w:val="0"/>
                                              <w:divBdr>
                                                <w:top w:val="none" w:sz="0" w:space="0" w:color="auto"/>
                                                <w:left w:val="none" w:sz="0" w:space="0" w:color="auto"/>
                                                <w:bottom w:val="none" w:sz="0" w:space="0" w:color="auto"/>
                                                <w:right w:val="none" w:sz="0" w:space="0" w:color="auto"/>
                                              </w:divBdr>
                                              <w:divsChild>
                                                <w:div w:id="1809325598">
                                                  <w:marLeft w:val="0"/>
                                                  <w:marRight w:val="0"/>
                                                  <w:marTop w:val="0"/>
                                                  <w:marBottom w:val="0"/>
                                                  <w:divBdr>
                                                    <w:top w:val="none" w:sz="0" w:space="0" w:color="auto"/>
                                                    <w:left w:val="none" w:sz="0" w:space="0" w:color="auto"/>
                                                    <w:bottom w:val="none" w:sz="0" w:space="0" w:color="auto"/>
                                                    <w:right w:val="none" w:sz="0" w:space="0" w:color="auto"/>
                                                  </w:divBdr>
                                                  <w:divsChild>
                                                    <w:div w:id="10658811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930471">
          <w:marLeft w:val="0"/>
          <w:marRight w:val="0"/>
          <w:marTop w:val="0"/>
          <w:marBottom w:val="0"/>
          <w:divBdr>
            <w:top w:val="none" w:sz="0" w:space="0" w:color="auto"/>
            <w:left w:val="none" w:sz="0" w:space="0" w:color="auto"/>
            <w:bottom w:val="none" w:sz="0" w:space="0" w:color="auto"/>
            <w:right w:val="none" w:sz="0" w:space="0" w:color="auto"/>
          </w:divBdr>
        </w:div>
      </w:divsChild>
    </w:div>
    <w:div w:id="1983852479">
      <w:bodyDiv w:val="1"/>
      <w:marLeft w:val="0"/>
      <w:marRight w:val="0"/>
      <w:marTop w:val="0"/>
      <w:marBottom w:val="0"/>
      <w:divBdr>
        <w:top w:val="none" w:sz="0" w:space="0" w:color="auto"/>
        <w:left w:val="none" w:sz="0" w:space="0" w:color="auto"/>
        <w:bottom w:val="none" w:sz="0" w:space="0" w:color="auto"/>
        <w:right w:val="none" w:sz="0" w:space="0" w:color="auto"/>
      </w:divBdr>
    </w:div>
    <w:div w:id="2048674308">
      <w:bodyDiv w:val="1"/>
      <w:marLeft w:val="0"/>
      <w:marRight w:val="0"/>
      <w:marTop w:val="0"/>
      <w:marBottom w:val="0"/>
      <w:divBdr>
        <w:top w:val="none" w:sz="0" w:space="0" w:color="auto"/>
        <w:left w:val="none" w:sz="0" w:space="0" w:color="auto"/>
        <w:bottom w:val="none" w:sz="0" w:space="0" w:color="auto"/>
        <w:right w:val="none" w:sz="0" w:space="0" w:color="auto"/>
      </w:divBdr>
    </w:div>
    <w:div w:id="2058315342">
      <w:bodyDiv w:val="1"/>
      <w:marLeft w:val="0"/>
      <w:marRight w:val="0"/>
      <w:marTop w:val="0"/>
      <w:marBottom w:val="0"/>
      <w:divBdr>
        <w:top w:val="none" w:sz="0" w:space="0" w:color="auto"/>
        <w:left w:val="none" w:sz="0" w:space="0" w:color="auto"/>
        <w:bottom w:val="none" w:sz="0" w:space="0" w:color="auto"/>
        <w:right w:val="none" w:sz="0" w:space="0" w:color="auto"/>
      </w:divBdr>
    </w:div>
    <w:div w:id="2125999795">
      <w:bodyDiv w:val="1"/>
      <w:marLeft w:val="0"/>
      <w:marRight w:val="0"/>
      <w:marTop w:val="0"/>
      <w:marBottom w:val="0"/>
      <w:divBdr>
        <w:top w:val="none" w:sz="0" w:space="0" w:color="auto"/>
        <w:left w:val="none" w:sz="0" w:space="0" w:color="auto"/>
        <w:bottom w:val="none" w:sz="0" w:space="0" w:color="auto"/>
        <w:right w:val="none" w:sz="0" w:space="0" w:color="auto"/>
      </w:divBdr>
    </w:div>
    <w:div w:id="21412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edocs/mdocs/govbody/en/wo_pbc_32/wo_pbc_32_3.pdf" TargetMode="External"/><Relationship Id="rId21" Type="http://schemas.openxmlformats.org/officeDocument/2006/relationships/hyperlink" Target="https://www.youtube.com/watch?v=YeX82TrKuP8" TargetMode="External"/><Relationship Id="rId42" Type="http://schemas.openxmlformats.org/officeDocument/2006/relationships/hyperlink" Target="https://www.wipo.int/enforcement/en/activities/current.html" TargetMode="External"/><Relationship Id="rId47" Type="http://schemas.openxmlformats.org/officeDocument/2006/relationships/hyperlink" Target="https://www.wipo.int/publications/en/details.jsp?id=4388&amp;plang=EN" TargetMode="External"/><Relationship Id="rId63" Type="http://schemas.openxmlformats.org/officeDocument/2006/relationships/hyperlink" Target="https://wipogreen.wipo.int/wipogreen-database/category/13" TargetMode="External"/><Relationship Id="rId68" Type="http://schemas.openxmlformats.org/officeDocument/2006/relationships/hyperlink" Target="https://www.wipo.int/publications/en/series/index.jsp?id=240"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www3.wipo.int/wipogreen/en/news/2020/news_0051.html" TargetMode="External"/><Relationship Id="rId11" Type="http://schemas.openxmlformats.org/officeDocument/2006/relationships/hyperlink" Target="https://www.wipo.int/wipo_magazine/en/2020/02/article_0006.html" TargetMode="External"/><Relationship Id="rId32" Type="http://schemas.openxmlformats.org/officeDocument/2006/relationships/hyperlink" Target="https://www.wipo.int/women-and-ip/en/news/2023/news_0002.html" TargetMode="External"/><Relationship Id="rId37" Type="http://schemas.openxmlformats.org/officeDocument/2006/relationships/hyperlink" Target="https://www3.wipo.int/wipogreen/en/projects/" TargetMode="External"/><Relationship Id="rId53" Type="http://schemas.openxmlformats.org/officeDocument/2006/relationships/hyperlink" Target="https://www.wipo.int/edocs/mdocs/mdocs/en/wipo_ip_tmk_ge_23/wipo_ip_tmk_ge_23_1.pdf" TargetMode="External"/><Relationship Id="rId58" Type="http://schemas.openxmlformats.org/officeDocument/2006/relationships/hyperlink" Target="https://standards4sdgs.unece.org/standards?field_standard_sdg_goals_target_id_verf=All&amp;field_standard_organization_target_id_verf=3&amp;items_per_page=25" TargetMode="External"/><Relationship Id="rId74" Type="http://schemas.openxmlformats.org/officeDocument/2006/relationships/hyperlink" Target="https://www.wto.org/english/tratop_e/trips_e/wtowip_e.htm" TargetMode="External"/><Relationship Id="rId79" Type="http://schemas.openxmlformats.org/officeDocument/2006/relationships/hyperlink" Target="https://unsdg.un.org/un-in-action/cabo-verde"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wipo.int/green-technology-book-mitigation/en/agriculture-and-land-use/index.html" TargetMode="External"/><Relationship Id="rId22" Type="http://schemas.openxmlformats.org/officeDocument/2006/relationships/hyperlink" Target="https://www.wipo.int/en/web/ip-advantage/w/stories/khanh-thien-pharmaceuticals-modernizing-traditional-medicine" TargetMode="External"/><Relationship Id="rId27" Type="http://schemas.openxmlformats.org/officeDocument/2006/relationships/hyperlink" Target="https://www.wipo.int/export/sites/www/women-and-ip/en/docs/wipo_policy_gender_equality.pdf" TargetMode="External"/><Relationship Id="rId30" Type="http://schemas.openxmlformats.org/officeDocument/2006/relationships/hyperlink" Target="https://www.wipo.int/academy/en/news/2023/news_0019.html" TargetMode="External"/><Relationship Id="rId35" Type="http://schemas.openxmlformats.org/officeDocument/2006/relationships/hyperlink" Target="https://www.wipo.int/en/web/ip-advantage/w/stories/cambodian-knitted-plushies-help-women-one-stitch-at-a-time" TargetMode="External"/><Relationship Id="rId43" Type="http://schemas.openxmlformats.org/officeDocument/2006/relationships/hyperlink" Target="https://www.wipo.int/publications/en/details.jsp?id=4240" TargetMode="External"/><Relationship Id="rId48" Type="http://schemas.openxmlformats.org/officeDocument/2006/relationships/hyperlink" Target="https://www.wipo.int/publications/en/details.jsp?id=4208&amp;plang=EN" TargetMode="External"/><Relationship Id="rId56" Type="http://schemas.openxmlformats.org/officeDocument/2006/relationships/hyperlink" Target="https://www3.wipo.int/wipogreen/en/news/2023/news_0005.html" TargetMode="External"/><Relationship Id="rId64" Type="http://schemas.openxmlformats.org/officeDocument/2006/relationships/hyperlink" Target="https://wipogreen.wipo.int/wipogreen-database/search?pagination.page=0&amp;pagination.size=10&amp;sort.0.field=CREATED_AT&amp;sort.0.direction=DESC&amp;queryFilters.0.field=COLLECTION&amp;queryFilters.0.value=148597" TargetMode="External"/><Relationship Id="rId69" Type="http://schemas.openxmlformats.org/officeDocument/2006/relationships/hyperlink" Target="https://www.wipo.int/wipolex/en/index.html" TargetMode="External"/><Relationship Id="rId77" Type="http://schemas.openxmlformats.org/officeDocument/2006/relationships/hyperlink" Target="https://www.wipo.int/publications/en/details.jsp?id=4590" TargetMode="External"/><Relationship Id="rId8" Type="http://schemas.openxmlformats.org/officeDocument/2006/relationships/image" Target="media/image1.png"/><Relationship Id="rId51" Type="http://schemas.openxmlformats.org/officeDocument/2006/relationships/hyperlink" Target="https://www.wipo.int/collective-marks/en/index.html" TargetMode="External"/><Relationship Id="rId72" Type="http://schemas.openxmlformats.org/officeDocument/2006/relationships/hyperlink" Target="https://www.wipo.int/policy/en/news/global_health/2023/news_0008.html" TargetMode="External"/><Relationship Id="rId80" Type="http://schemas.openxmlformats.org/officeDocument/2006/relationships/hyperlink" Target="https://www.wipo.int/academy/en/news/2023/news_0026.htm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wipo.int/web/green-technology-book" TargetMode="External"/><Relationship Id="rId17"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25" Type="http://schemas.openxmlformats.org/officeDocument/2006/relationships/hyperlink" Target="https://www.wipo.int/export/sites/www/women-and-ip/en/docs/rn2023-1_ipgap.pdf" TargetMode="External"/><Relationship Id="rId33" Type="http://schemas.openxmlformats.org/officeDocument/2006/relationships/hyperlink" Target="https://www.wipo.int/pressroom/en/stories/rwanda-agribusiness2023.html" TargetMode="External"/><Relationship Id="rId38" Type="http://schemas.openxmlformats.org/officeDocument/2006/relationships/hyperlink" Target="https://wipogreen.wipo.int/wipogreen-database/articles/146652" TargetMode="External"/><Relationship Id="rId46" Type="http://schemas.openxmlformats.org/officeDocument/2006/relationships/hyperlink" Target="https://www.wipo.int/publications/en/details.jsp?id=4545&amp;plang=EN" TargetMode="External"/><Relationship Id="rId59" Type="http://schemas.openxmlformats.org/officeDocument/2006/relationships/hyperlink" Target="https://www.wipo.int/publications/en/details.jsp?id=4678" TargetMode="External"/><Relationship Id="rId67" Type="http://schemas.openxmlformats.org/officeDocument/2006/relationships/hyperlink" Target="https://www.wipo.int/about-patent-judicial-guide/en/" TargetMode="External"/><Relationship Id="rId20" Type="http://schemas.openxmlformats.org/officeDocument/2006/relationships/hyperlink" Target="https://www.wipo.int/edocs/pubdocs/en/wipo-pub-rn2023-39-en-intellectual-property-and-technology-transfer-for-covid-19-vaccines-assessment-of-the-record.pdf" TargetMode="External"/><Relationship Id="rId41" Type="http://schemas.openxmlformats.org/officeDocument/2006/relationships/hyperlink" Target="https://www.wipo.int/wipo_magazine/en/2020/02/article_0006.html" TargetMode="External"/><Relationship Id="rId54" Type="http://schemas.openxmlformats.org/officeDocument/2006/relationships/hyperlink" Target="https://inspire.wipo.int/" TargetMode="External"/><Relationship Id="rId62" Type="http://schemas.openxmlformats.org/officeDocument/2006/relationships/hyperlink" Target="https://wipogreen.wipo.int/wipogreen-database/category/12" TargetMode="External"/><Relationship Id="rId70" Type="http://schemas.openxmlformats.org/officeDocument/2006/relationships/hyperlink" Target="https://www3.wipo.int/wipogreen/en/" TargetMode="External"/><Relationship Id="rId75" Type="http://schemas.openxmlformats.org/officeDocument/2006/relationships/hyperlink" Target="https://www.wipo.int/about-wipo/en/dg_tang/news/2023/news_0028.html"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pogreen.wipo.int/wipogreen-database/category/10" TargetMode="External"/><Relationship Id="rId23" Type="http://schemas.openxmlformats.org/officeDocument/2006/relationships/hyperlink" Target="https://www.wipo.int/treaties/en/ip/singapore/" TargetMode="External"/><Relationship Id="rId28" Type="http://schemas.openxmlformats.org/officeDocument/2006/relationships/hyperlink" Target="https://www.wipo.int/export/sites/www/women-and-ip/en/docs/rn2023-1_ipgap.pdf" TargetMode="External"/><Relationship Id="rId36" Type="http://schemas.openxmlformats.org/officeDocument/2006/relationships/hyperlink" Target="https://wipogreen.wipo.int/wipogreen-database/category/9" TargetMode="External"/><Relationship Id="rId49" Type="http://schemas.openxmlformats.org/officeDocument/2006/relationships/hyperlink" Target="https://www.wipo.int/publications/en/details.jsp?id=4350&amp;plang=EN" TargetMode="External"/><Relationship Id="rId57" Type="http://schemas.openxmlformats.org/officeDocument/2006/relationships/hyperlink" Target="https://www3.wipo.int/wipogreen/en/ipo-green/" TargetMode="External"/><Relationship Id="rId10" Type="http://schemas.openxmlformats.org/officeDocument/2006/relationships/hyperlink" Target="https://www.wipo.int/treaties/en/registration/lisbon/summary_lisbon-geneva.html" TargetMode="External"/><Relationship Id="rId31" Type="http://schemas.openxmlformats.org/officeDocument/2006/relationships/hyperlink" Target="https://www.wipo.int/tk/en/women_entrepreneurs/" TargetMode="External"/><Relationship Id="rId44" Type="http://schemas.openxmlformats.org/officeDocument/2006/relationships/hyperlink" Target="https://www.wipo.int/meetings/en/topic.jsp?group_id=346" TargetMode="External"/><Relationship Id="rId52" Type="http://schemas.openxmlformats.org/officeDocument/2006/relationships/hyperlink" Target="https://www.wipo.int/cooperation/en/funds_in_trust/japan_fitip_global/news/2023/news_0013.html" TargetMode="External"/><Relationship Id="rId60" Type="http://schemas.openxmlformats.org/officeDocument/2006/relationships/hyperlink" Target="https://www.wipo.int/global_innovation_index/en/" TargetMode="External"/><Relationship Id="rId65" Type="http://schemas.openxmlformats.org/officeDocument/2006/relationships/hyperlink" Target="https://niueoceanwide.com/ocean-conservation-commitments/" TargetMode="External"/><Relationship Id="rId73" Type="http://schemas.openxmlformats.org/officeDocument/2006/relationships/hyperlink" Target="https://www.wto.org/english/news_e/news23_e/trip_14dec23_e.htm" TargetMode="External"/><Relationship Id="rId78" Type="http://schemas.openxmlformats.org/officeDocument/2006/relationships/hyperlink" Target="https://unsdg.un.org/resources/united-nations-sustainable-development-cooperation-framework-guidance" TargetMode="External"/><Relationship Id="rId81" Type="http://schemas.openxmlformats.org/officeDocument/2006/relationships/hyperlink" Target="https://webcast.wipo.int/video/WIPO_UNESCO_KIPO_ACAD_GE_23_2023-04-26_PM_119180"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treaties/en/registration/lisbon/summary_lisbon.html" TargetMode="External"/><Relationship Id="rId13" Type="http://schemas.openxmlformats.org/officeDocument/2006/relationships/hyperlink" Target="https://wipogreen.wipo.int/wipogreen-database/collection-collections/146441" TargetMode="External"/><Relationship Id="rId18"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39" Type="http://schemas.openxmlformats.org/officeDocument/2006/relationships/hyperlink" Target="https://wipogreen.wipo.int/wipogreen-database/category/8" TargetMode="External"/><Relationship Id="rId34" Type="http://schemas.openxmlformats.org/officeDocument/2006/relationships/hyperlink" Target="https://www.wipo.int/web/ip-advantage/w/stories/-rangpur-shataranji-a-geographical-indication-of-bangladesh" TargetMode="External"/><Relationship Id="rId50" Type="http://schemas.openxmlformats.org/officeDocument/2006/relationships/hyperlink" Target="https://www.wipo.int/ipdiagnostics-assessment/global/en" TargetMode="External"/><Relationship Id="rId55" Type="http://schemas.openxmlformats.org/officeDocument/2006/relationships/hyperlink" Target="https://wipogreen.wipo.int/wipogreen-database/category/14" TargetMode="External"/><Relationship Id="rId76" Type="http://schemas.openxmlformats.org/officeDocument/2006/relationships/hyperlink" Target="https://www3.wipo.int/wipogreen/en/news/2023/news_0017.html" TargetMode="External"/><Relationship Id="rId7" Type="http://schemas.openxmlformats.org/officeDocument/2006/relationships/endnotes" Target="endnotes.xml"/><Relationship Id="rId71" Type="http://schemas.openxmlformats.org/officeDocument/2006/relationships/hyperlink" Target="https://www.wipo.int/policy/en/global_health/trilateral_cooperation.html" TargetMode="External"/><Relationship Id="rId2" Type="http://schemas.openxmlformats.org/officeDocument/2006/relationships/numbering" Target="numbering.xml"/><Relationship Id="rId29" Type="http://schemas.openxmlformats.org/officeDocument/2006/relationships/hyperlink" Target="https://www.wipo.int/publications/en/details.jsp?id=4653" TargetMode="External"/><Relationship Id="rId24" Type="http://schemas.openxmlformats.org/officeDocument/2006/relationships/hyperlink" Target="https://www.wipo.int/meetings/en/details.jsp?meeting_id=79089" TargetMode="External"/><Relationship Id="rId40" Type="http://schemas.openxmlformats.org/officeDocument/2006/relationships/hyperlink" Target="https://www.wipo.int/ip-outreach/en/ipday/2020/case-studies/banano.html" TargetMode="External"/><Relationship Id="rId45" Type="http://schemas.openxmlformats.org/officeDocument/2006/relationships/hyperlink" Target="https://www.wipo.int/publications/en/details.jsp?id=4664" TargetMode="External"/><Relationship Id="rId66" Type="http://schemas.openxmlformats.org/officeDocument/2006/relationships/hyperlink" Target="https://www.wipo.int/wipo-alert/en/" TargetMode="External"/><Relationship Id="rId87" Type="http://schemas.openxmlformats.org/officeDocument/2006/relationships/header" Target="header3.xml"/><Relationship Id="rId61"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82" Type="http://schemas.openxmlformats.org/officeDocument/2006/relationships/hyperlink" Target="https://unctad.org/topic/ecommerce-and-digital-economy/etrade-for-women" TargetMode="External"/><Relationship Id="rId19" Type="http://schemas.openxmlformats.org/officeDocument/2006/relationships/hyperlink" Target="https://www.wipo.int/meetings/en/2023/ip-development-conferenc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web/covid-19" TargetMode="External"/><Relationship Id="rId1" Type="http://schemas.openxmlformats.org/officeDocument/2006/relationships/hyperlink" Target="https://sdgs.u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5D4B-5227-4178-9E50-8DAE25F8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41768</Words>
  <Characters>9971</Characters>
  <Application>Microsoft Office Word</Application>
  <DocSecurity>0</DocSecurity>
  <Lines>83</Lines>
  <Paragraphs>103</Paragraphs>
  <ScaleCrop>false</ScaleCrop>
  <HeadingPairs>
    <vt:vector size="2" baseType="variant">
      <vt:variant>
        <vt:lpstr>Title</vt:lpstr>
      </vt:variant>
      <vt:variant>
        <vt:i4>1</vt:i4>
      </vt:variant>
    </vt:vector>
  </HeadingPairs>
  <TitlesOfParts>
    <vt:vector size="1" baseType="lpstr">
      <vt:lpstr>CDIP/32/3</vt:lpstr>
    </vt:vector>
  </TitlesOfParts>
  <Company>WIPO</Company>
  <LinksUpToDate>false</LinksUpToDate>
  <CharactersWithSpaces>51636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CDIP/32/3</dc:title>
  <dc:subject>关于产权组织对落实可持续发展目标及其相关具体目标所作贡献的报告</dc:subject>
  <dc:creator>VAN WEELDE Jessyca</dc:creator>
  <cp:keywords/>
  <cp:lastModifiedBy>PANAKAL Joseph Lazar</cp:lastModifiedBy>
  <cp:revision>2</cp:revision>
  <cp:lastPrinted>2024-03-12T08:33:00Z</cp:lastPrinted>
  <dcterms:created xsi:type="dcterms:W3CDTF">2024-04-11T13:30:00Z</dcterms:created>
  <dcterms:modified xsi:type="dcterms:W3CDTF">2024-04-11T13:30:00Z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a30476b2-f040-4a2a-ab47-17e35988d02a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2024-03-12T10:16:28Z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fe765fc9-0b30-47b5-bd63-5a008952a103</vt:lpwstr>
  </property>
  <property fmtid="{D5CDD505-2E9C-101B-9397-08002B2CF9AE}" pid="14" name="MSIP_Label_20773ee6-353b-4fb9-a59d-0b94c8c67bea_ContentBits">
    <vt:lpwstr>0</vt:lpwstr>
  </property>
</Properties>
</file>