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lang w:val="de-DE" w:eastAsia="de-DE"/>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561BC4" w:rsidP="00211039">
      <w:pPr>
        <w:pBdr>
          <w:top w:val="single" w:sz="4" w:space="10" w:color="auto"/>
        </w:pBdr>
        <w:bidi w:val="0"/>
        <w:rPr>
          <w:rFonts w:ascii="Arial Black" w:eastAsia="SimSun" w:hAnsi="Arial Black" w:cs="Arial"/>
          <w:b/>
          <w:caps/>
          <w:noProof/>
          <w:sz w:val="16"/>
          <w:szCs w:val="16"/>
          <w:rtl/>
          <w:lang w:eastAsia="zh-CN"/>
        </w:rPr>
      </w:pPr>
      <w:bookmarkStart w:id="2" w:name="Code"/>
      <w:bookmarkStart w:id="3" w:name="Code2"/>
      <w:bookmarkEnd w:id="2"/>
      <w:r>
        <w:rPr>
          <w:rFonts w:ascii="Arial Black" w:eastAsia="SimSun" w:hAnsi="Arial Black" w:cs="Arial"/>
          <w:b/>
          <w:caps/>
          <w:noProof/>
          <w:sz w:val="16"/>
          <w:szCs w:val="16"/>
          <w:lang w:eastAsia="zh-CN"/>
        </w:rPr>
        <w:t>CWS/</w:t>
      </w:r>
      <w:r w:rsidR="00211039">
        <w:rPr>
          <w:rFonts w:ascii="Arial Black" w:eastAsia="SimSun" w:hAnsi="Arial Black" w:cs="Arial"/>
          <w:b/>
          <w:caps/>
          <w:noProof/>
          <w:sz w:val="16"/>
          <w:szCs w:val="16"/>
          <w:lang w:eastAsia="zh-CN"/>
        </w:rPr>
        <w:t>7</w:t>
      </w:r>
      <w:r>
        <w:rPr>
          <w:rFonts w:ascii="Arial Black" w:eastAsia="SimSun" w:hAnsi="Arial Black" w:cs="Arial"/>
          <w:b/>
          <w:caps/>
          <w:noProof/>
          <w:sz w:val="16"/>
          <w:szCs w:val="16"/>
          <w:lang w:eastAsia="zh-CN"/>
        </w:rPr>
        <w:t>/</w:t>
      </w:r>
      <w:r w:rsidR="003F594F">
        <w:rPr>
          <w:rFonts w:ascii="Arial Black" w:eastAsia="SimSun" w:hAnsi="Arial Black" w:cs="Arial" w:hint="cs"/>
          <w:b/>
          <w:caps/>
          <w:noProof/>
          <w:sz w:val="16"/>
          <w:szCs w:val="16"/>
          <w:rtl/>
          <w:lang w:eastAsia="zh-CN"/>
        </w:rPr>
        <w:t>19</w:t>
      </w:r>
    </w:p>
    <w:bookmarkEnd w:id="3"/>
    <w:p w:rsidR="003F7284" w:rsidRPr="008B581C" w:rsidRDefault="003F7284" w:rsidP="005D79F6">
      <w:pPr>
        <w:jc w:val="right"/>
        <w:rPr>
          <w:b/>
          <w:bCs/>
          <w:sz w:val="30"/>
          <w:szCs w:val="30"/>
          <w:rtl/>
          <w:lang w:val="fr-CH" w:bidi="ar-SY"/>
        </w:rPr>
      </w:pPr>
      <w:r w:rsidRPr="00BB6440">
        <w:rPr>
          <w:b/>
          <w:bCs/>
          <w:sz w:val="30"/>
          <w:szCs w:val="30"/>
          <w:rtl/>
        </w:rPr>
        <w:t xml:space="preserve">الأصل: </w:t>
      </w:r>
      <w:bookmarkStart w:id="4" w:name="Original"/>
      <w:bookmarkEnd w:id="4"/>
      <w:r w:rsidR="008B581C">
        <w:rPr>
          <w:rFonts w:hint="cs"/>
          <w:b/>
          <w:bCs/>
          <w:sz w:val="30"/>
          <w:szCs w:val="30"/>
          <w:rtl/>
          <w:lang w:val="fr-CH" w:bidi="ar-SY"/>
        </w:rPr>
        <w:t>بالإنكليزية</w:t>
      </w:r>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bookmarkStart w:id="5" w:name="Date"/>
      <w:bookmarkEnd w:id="5"/>
      <w:r w:rsidR="008B581C">
        <w:rPr>
          <w:rFonts w:hint="cs"/>
          <w:b/>
          <w:bCs/>
          <w:sz w:val="30"/>
          <w:szCs w:val="30"/>
          <w:rtl/>
        </w:rPr>
        <w:t>22 مايو 2019</w:t>
      </w:r>
    </w:p>
    <w:p w:rsidR="002E7810" w:rsidRPr="00FD6D15" w:rsidRDefault="00561BC4" w:rsidP="009B7572">
      <w:pPr>
        <w:pStyle w:val="Heading1"/>
        <w:spacing w:after="600" w:line="240" w:lineRule="auto"/>
        <w:rPr>
          <w:rtl/>
        </w:rPr>
      </w:pPr>
      <w:bookmarkStart w:id="6" w:name="Body"/>
      <w:bookmarkEnd w:id="6"/>
      <w:r>
        <w:rPr>
          <w:rFonts w:hint="eastAsia"/>
          <w:rtl/>
        </w:rPr>
        <w:t>اللجنة</w:t>
      </w:r>
      <w:r>
        <w:rPr>
          <w:rtl/>
        </w:rPr>
        <w:t xml:space="preserve"> </w:t>
      </w:r>
      <w:r>
        <w:rPr>
          <w:rFonts w:hint="eastAsia"/>
          <w:rtl/>
        </w:rPr>
        <w:t>المعنية</w:t>
      </w:r>
      <w:r>
        <w:rPr>
          <w:rtl/>
        </w:rPr>
        <w:t xml:space="preserve"> </w:t>
      </w:r>
      <w:r>
        <w:rPr>
          <w:rFonts w:hint="eastAsia"/>
          <w:rtl/>
        </w:rPr>
        <w:t>بمعايير</w:t>
      </w:r>
      <w:r>
        <w:rPr>
          <w:rtl/>
        </w:rPr>
        <w:t xml:space="preserve"> </w:t>
      </w:r>
      <w:r>
        <w:rPr>
          <w:rFonts w:hint="eastAsia"/>
          <w:rtl/>
        </w:rPr>
        <w:t>الويبو</w:t>
      </w:r>
    </w:p>
    <w:p w:rsidR="002E7810" w:rsidRPr="002E7810" w:rsidRDefault="00561BC4" w:rsidP="00211039">
      <w:pPr>
        <w:rPr>
          <w:rFonts w:ascii="Arial Black" w:hAnsi="Arial Black" w:cs="PT Bold Heading"/>
          <w:sz w:val="30"/>
          <w:szCs w:val="30"/>
          <w:rtl/>
        </w:rPr>
      </w:pPr>
      <w:bookmarkStart w:id="7" w:name="Session"/>
      <w:bookmarkEnd w:id="7"/>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211039">
        <w:rPr>
          <w:rFonts w:ascii="Arial Black" w:hAnsi="Arial Black" w:cs="PT Bold Heading" w:hint="cs"/>
          <w:sz w:val="30"/>
          <w:szCs w:val="30"/>
          <w:rtl/>
        </w:rPr>
        <w:t>السابعة</w:t>
      </w:r>
    </w:p>
    <w:p w:rsidR="002E7810" w:rsidRPr="002E7810" w:rsidRDefault="00561BC4" w:rsidP="00211039">
      <w:pPr>
        <w:spacing w:line="600" w:lineRule="auto"/>
        <w:rPr>
          <w:b/>
          <w:bCs/>
          <w:rtl/>
        </w:rPr>
      </w:pPr>
      <w:bookmarkStart w:id="8" w:name="Place"/>
      <w:bookmarkEnd w:id="8"/>
      <w:r>
        <w:rPr>
          <w:b/>
          <w:bCs/>
          <w:rtl/>
        </w:rPr>
        <w:t xml:space="preserve">جنيف، من </w:t>
      </w:r>
      <w:r w:rsidR="00211039">
        <w:rPr>
          <w:rFonts w:hint="cs"/>
          <w:b/>
          <w:bCs/>
          <w:rtl/>
        </w:rPr>
        <w:t>1</w:t>
      </w:r>
      <w:r>
        <w:rPr>
          <w:b/>
          <w:bCs/>
          <w:rtl/>
        </w:rPr>
        <w:t xml:space="preserve"> إلى </w:t>
      </w:r>
      <w:r w:rsidR="00211039">
        <w:rPr>
          <w:rFonts w:hint="cs"/>
          <w:b/>
          <w:bCs/>
          <w:rtl/>
        </w:rPr>
        <w:t>5</w:t>
      </w:r>
      <w:r>
        <w:rPr>
          <w:b/>
          <w:bCs/>
          <w:rtl/>
        </w:rPr>
        <w:t xml:space="preserve"> </w:t>
      </w:r>
      <w:r w:rsidR="00211039">
        <w:rPr>
          <w:rFonts w:hint="cs"/>
          <w:b/>
          <w:bCs/>
          <w:rtl/>
        </w:rPr>
        <w:t xml:space="preserve">يوليو </w:t>
      </w:r>
      <w:r>
        <w:rPr>
          <w:b/>
          <w:bCs/>
          <w:rtl/>
        </w:rPr>
        <w:t>201</w:t>
      </w:r>
      <w:r w:rsidR="00211039">
        <w:rPr>
          <w:rFonts w:hint="cs"/>
          <w:b/>
          <w:bCs/>
          <w:rtl/>
        </w:rPr>
        <w:t>9</w:t>
      </w:r>
    </w:p>
    <w:p w:rsidR="002E7810" w:rsidRPr="002E7810" w:rsidRDefault="00D506C3" w:rsidP="00874721">
      <w:pPr>
        <w:rPr>
          <w:rFonts w:ascii="Arial Black" w:hAnsi="Arial Black" w:cs="PT Bold Heading"/>
          <w:sz w:val="26"/>
          <w:szCs w:val="26"/>
        </w:rPr>
      </w:pPr>
      <w:bookmarkStart w:id="9" w:name="TitleOfDoc"/>
      <w:bookmarkStart w:id="10" w:name="_GoBack"/>
      <w:bookmarkEnd w:id="9"/>
      <w:r>
        <w:rPr>
          <w:rFonts w:ascii="Arial Black" w:hAnsi="Arial Black" w:cs="PT Bold Heading" w:hint="cs"/>
          <w:sz w:val="26"/>
          <w:szCs w:val="26"/>
          <w:rtl/>
        </w:rPr>
        <w:t>تنقيح</w:t>
      </w:r>
      <w:r w:rsidR="008B581C">
        <w:rPr>
          <w:rFonts w:ascii="Arial Black" w:hAnsi="Arial Black" w:cs="PT Bold Heading" w:hint="cs"/>
          <w:sz w:val="26"/>
          <w:szCs w:val="26"/>
          <w:rtl/>
        </w:rPr>
        <w:t xml:space="preserve"> معيار الويبو </w:t>
      </w:r>
      <w:r w:rsidR="008B581C">
        <w:rPr>
          <w:rFonts w:ascii="Arial Black" w:hAnsi="Arial Black" w:cs="PT Bold Heading"/>
          <w:sz w:val="26"/>
          <w:szCs w:val="26"/>
        </w:rPr>
        <w:t>ST.60</w:t>
      </w:r>
      <w:bookmarkEnd w:id="10"/>
    </w:p>
    <w:p w:rsidR="003F7284" w:rsidRPr="00BB6440" w:rsidRDefault="008B581C" w:rsidP="00874721">
      <w:pPr>
        <w:spacing w:before="200" w:after="960"/>
        <w:rPr>
          <w:i/>
          <w:iCs/>
          <w:rtl/>
        </w:rPr>
      </w:pPr>
      <w:bookmarkStart w:id="11" w:name="Doc"/>
      <w:bookmarkEnd w:id="11"/>
      <w:r>
        <w:rPr>
          <w:rFonts w:hint="cs"/>
          <w:i/>
          <w:iCs/>
          <w:rtl/>
          <w:lang w:val="fr-CH" w:bidi="ar-SY"/>
        </w:rPr>
        <w:t xml:space="preserve">وثيقة </w:t>
      </w:r>
      <w:r w:rsidR="003F7284" w:rsidRPr="00BB6440">
        <w:rPr>
          <w:i/>
          <w:iCs/>
          <w:rtl/>
        </w:rPr>
        <w:t>من إعداد</w:t>
      </w:r>
      <w:r w:rsidR="005D79F6" w:rsidRPr="00BB6440">
        <w:rPr>
          <w:rFonts w:hint="cs"/>
          <w:i/>
          <w:iCs/>
          <w:rtl/>
        </w:rPr>
        <w:t xml:space="preserve"> </w:t>
      </w:r>
      <w:bookmarkStart w:id="12" w:name="Prepared"/>
      <w:bookmarkEnd w:id="12"/>
      <w:r>
        <w:rPr>
          <w:rFonts w:hint="cs"/>
          <w:i/>
          <w:iCs/>
          <w:rtl/>
        </w:rPr>
        <w:t>المكتب الدولي</w:t>
      </w:r>
    </w:p>
    <w:p w:rsidR="00E3612C" w:rsidRPr="00FD6D15" w:rsidRDefault="008B581C" w:rsidP="008B581C">
      <w:pPr>
        <w:pStyle w:val="Heading3"/>
        <w:rPr>
          <w:rtl/>
        </w:rPr>
      </w:pPr>
      <w:r>
        <w:rPr>
          <w:rFonts w:hint="cs"/>
          <w:rtl/>
        </w:rPr>
        <w:t>معلومات أساسية</w:t>
      </w:r>
    </w:p>
    <w:p w:rsidR="00C41AE0" w:rsidRPr="008B581C" w:rsidRDefault="008B581C" w:rsidP="003F594F">
      <w:pPr>
        <w:pStyle w:val="ONUMA"/>
      </w:pPr>
      <w:r>
        <w:rPr>
          <w:rFonts w:hint="cs"/>
          <w:rtl/>
        </w:rPr>
        <w:t xml:space="preserve">نظرت اللجنة المعنية بمعايير الويبو (لجنة المعايير)، خلال دورتها السادسة التي عُقدت في 2018، في </w:t>
      </w:r>
      <w:r w:rsidR="003F594F">
        <w:rPr>
          <w:rFonts w:hint="cs"/>
          <w:rtl/>
        </w:rPr>
        <w:t>ال</w:t>
      </w:r>
      <w:r>
        <w:rPr>
          <w:rFonts w:hint="cs"/>
          <w:rtl/>
        </w:rPr>
        <w:t>مقترحات</w:t>
      </w:r>
      <w:r w:rsidR="003F594F">
        <w:rPr>
          <w:rFonts w:hint="cs"/>
          <w:rtl/>
        </w:rPr>
        <w:t xml:space="preserve"> التي</w:t>
      </w:r>
      <w:r>
        <w:rPr>
          <w:rFonts w:hint="cs"/>
          <w:rtl/>
        </w:rPr>
        <w:t xml:space="preserve"> قدمها المكتب الأوروبي للملكية الفكرية، لتحديث معيار الويبو </w:t>
      </w:r>
      <w:r>
        <w:t>ST.60</w:t>
      </w:r>
      <w:r>
        <w:rPr>
          <w:rFonts w:hint="cs"/>
          <w:rtl/>
          <w:lang w:val="fr-CH" w:bidi="ar-SY"/>
        </w:rPr>
        <w:t xml:space="preserve"> المعنون "تو</w:t>
      </w:r>
      <w:r w:rsidRPr="008B581C">
        <w:rPr>
          <w:rFonts w:hint="cs"/>
          <w:i/>
          <w:iCs/>
          <w:rtl/>
          <w:lang w:val="fr-CH" w:bidi="ar-SY"/>
        </w:rPr>
        <w:t>صية بشأن البيانات البيبليوغرافية فيما يتعلق بالعلامات</w:t>
      </w:r>
      <w:r>
        <w:rPr>
          <w:rFonts w:hint="cs"/>
          <w:rtl/>
          <w:lang w:val="fr-CH" w:bidi="ar-SY"/>
        </w:rPr>
        <w:t xml:space="preserve">" (انظر الوثيقة </w:t>
      </w:r>
      <w:r>
        <w:rPr>
          <w:lang w:bidi="ar-SY"/>
        </w:rPr>
        <w:t>CWS/6/20</w:t>
      </w:r>
      <w:r>
        <w:rPr>
          <w:rFonts w:hint="cs"/>
          <w:rtl/>
          <w:lang w:val="fr-CH" w:bidi="ar-SY"/>
        </w:rPr>
        <w:t xml:space="preserve">). واعتمدت لجنة المعايير </w:t>
      </w:r>
      <w:r w:rsidR="003F594F">
        <w:rPr>
          <w:rFonts w:hint="cs"/>
          <w:rtl/>
          <w:lang w:val="fr-CH" w:bidi="ar-SY"/>
        </w:rPr>
        <w:t>ال</w:t>
      </w:r>
      <w:r>
        <w:rPr>
          <w:rFonts w:hint="cs"/>
          <w:rtl/>
          <w:lang w:val="fr-CH" w:bidi="ar-SY"/>
        </w:rPr>
        <w:t xml:space="preserve">مقترح "الأمثل"، باستثناء أرقام </w:t>
      </w:r>
      <w:r w:rsidR="003F594F">
        <w:rPr>
          <w:rFonts w:hint="cs"/>
          <w:rtl/>
          <w:lang w:val="fr-CH" w:bidi="ar-SY"/>
        </w:rPr>
        <w:t>ال</w:t>
      </w:r>
      <w:r>
        <w:rPr>
          <w:rFonts w:hint="cs"/>
          <w:rtl/>
          <w:lang w:val="fr-CH" w:bidi="ar-SY"/>
        </w:rPr>
        <w:t>رموز</w:t>
      </w:r>
      <w:r w:rsidR="003F594F">
        <w:rPr>
          <w:rFonts w:hint="cs"/>
          <w:rtl/>
          <w:lang w:val="fr-CH" w:bidi="ar-SY"/>
        </w:rPr>
        <w:t xml:space="preserve"> في</w:t>
      </w:r>
      <w:r>
        <w:rPr>
          <w:rFonts w:hint="cs"/>
          <w:rtl/>
          <w:lang w:val="fr-CH" w:bidi="ar-SY"/>
        </w:rPr>
        <w:t xml:space="preserve"> </w:t>
      </w:r>
      <w:r>
        <w:rPr>
          <w:rFonts w:hint="cs"/>
          <w:rtl/>
        </w:rPr>
        <w:t>نظام الأرقام المتفق عليها دولياً في تحديد البيانات (رموز الأرقام)</w:t>
      </w:r>
      <w:r>
        <w:rPr>
          <w:rtl/>
        </w:rPr>
        <w:t xml:space="preserve"> </w:t>
      </w:r>
      <w:r>
        <w:rPr>
          <w:rFonts w:hint="cs"/>
          <w:rtl/>
        </w:rPr>
        <w:t>فيما يتعلق با</w:t>
      </w:r>
      <w:r w:rsidRPr="000D74C9">
        <w:rPr>
          <w:rtl/>
        </w:rPr>
        <w:t>لعلامات اللفظية والعلامات التصويرية</w:t>
      </w:r>
      <w:r>
        <w:rPr>
          <w:rFonts w:hint="cs"/>
          <w:rtl/>
        </w:rPr>
        <w:t xml:space="preserve">. </w:t>
      </w:r>
      <w:r>
        <w:rPr>
          <w:rFonts w:hint="cs"/>
          <w:rtl/>
          <w:lang w:bidi="ar-SY"/>
        </w:rPr>
        <w:t>وقُدم</w:t>
      </w:r>
      <w:r w:rsidRPr="008B581C">
        <w:rPr>
          <w:rtl/>
        </w:rPr>
        <w:t xml:space="preserve"> </w:t>
      </w:r>
      <w:r w:rsidR="003F594F" w:rsidRPr="008B581C">
        <w:rPr>
          <w:rtl/>
        </w:rPr>
        <w:t xml:space="preserve">أثناء الجلسة العامة </w:t>
      </w:r>
      <w:r w:rsidRPr="008B581C">
        <w:rPr>
          <w:rtl/>
        </w:rPr>
        <w:t xml:space="preserve">العديد من المقترحات الأخرى </w:t>
      </w:r>
      <w:r>
        <w:rPr>
          <w:rtl/>
        </w:rPr>
        <w:t>التي تتطلب المزيد من ال</w:t>
      </w:r>
      <w:r>
        <w:rPr>
          <w:rFonts w:hint="cs"/>
          <w:rtl/>
        </w:rPr>
        <w:t xml:space="preserve">بحث (انظر الفقرات من 128 إلى 130 في الوثيقة </w:t>
      </w:r>
      <w:r>
        <w:t>CWS/6/34</w:t>
      </w:r>
      <w:r>
        <w:rPr>
          <w:rFonts w:hint="cs"/>
          <w:rtl/>
        </w:rPr>
        <w:t>)</w:t>
      </w:r>
      <w:r>
        <w:rPr>
          <w:rFonts w:hint="cs"/>
          <w:rtl/>
          <w:lang w:val="fr-CH" w:bidi="ar-SY"/>
        </w:rPr>
        <w:t>.</w:t>
      </w:r>
    </w:p>
    <w:p w:rsidR="008B581C" w:rsidRPr="00ED7555" w:rsidRDefault="008B581C" w:rsidP="008B581C">
      <w:pPr>
        <w:pStyle w:val="ONUMA"/>
        <w:rPr>
          <w:rtl/>
        </w:rPr>
      </w:pPr>
      <w:r>
        <w:rPr>
          <w:rFonts w:hint="cs"/>
          <w:rtl/>
        </w:rPr>
        <w:t>و</w:t>
      </w:r>
      <w:r>
        <w:rPr>
          <w:rtl/>
        </w:rPr>
        <w:t>نتيجة لهذه المقترحات</w:t>
      </w:r>
      <w:r w:rsidRPr="008B581C">
        <w:rPr>
          <w:rtl/>
        </w:rPr>
        <w:t>،</w:t>
      </w:r>
      <w:r>
        <w:rPr>
          <w:rtl/>
        </w:rPr>
        <w:t xml:space="preserve"> أنشأت اللجنة مهمة جديدة رقم 60</w:t>
      </w:r>
      <w:r w:rsidRPr="008B581C">
        <w:rPr>
          <w:rtl/>
        </w:rPr>
        <w:t>، وفيما يلي وصفها:</w:t>
      </w:r>
    </w:p>
    <w:p w:rsidR="001513BD" w:rsidRPr="000D74C9" w:rsidRDefault="001513BD" w:rsidP="001513BD">
      <w:pPr>
        <w:pStyle w:val="BodyTextFirstIndent"/>
        <w:rPr>
          <w:rtl/>
        </w:rPr>
      </w:pPr>
      <w:r>
        <w:rPr>
          <w:rFonts w:hint="cs"/>
          <w:rtl/>
        </w:rPr>
        <w:t>"</w:t>
      </w:r>
      <w:r>
        <w:rPr>
          <w:rtl/>
        </w:rPr>
        <w:t xml:space="preserve">إعداد </w:t>
      </w:r>
      <w:r>
        <w:rPr>
          <w:rFonts w:hint="cs"/>
          <w:rtl/>
        </w:rPr>
        <w:t>مقترح</w:t>
      </w:r>
      <w:r>
        <w:rPr>
          <w:rtl/>
        </w:rPr>
        <w:t xml:space="preserve"> بشأن </w:t>
      </w:r>
      <w:r>
        <w:rPr>
          <w:rFonts w:hint="cs"/>
          <w:rtl/>
        </w:rPr>
        <w:t>رموز نظام الأرقام المتفق عليها دولياً في تحديد البيانات (رموز الأرقام)</w:t>
      </w:r>
      <w:r>
        <w:rPr>
          <w:rtl/>
        </w:rPr>
        <w:t xml:space="preserve"> </w:t>
      </w:r>
      <w:r>
        <w:rPr>
          <w:rFonts w:hint="cs"/>
          <w:rtl/>
        </w:rPr>
        <w:t>فيما يتعلق با</w:t>
      </w:r>
      <w:r w:rsidRPr="000D74C9">
        <w:rPr>
          <w:rtl/>
        </w:rPr>
        <w:t>لعلامات اللفظية والعلامات التصويرية</w:t>
      </w:r>
      <w:r>
        <w:rPr>
          <w:rFonts w:hint="cs"/>
          <w:rtl/>
        </w:rPr>
        <w:t xml:space="preserve">، </w:t>
      </w:r>
      <w:r w:rsidRPr="000D74C9">
        <w:rPr>
          <w:rtl/>
        </w:rPr>
        <w:t xml:space="preserve">وبشأن تجزئة الرمز (551)، وبشأن الرمز الذي </w:t>
      </w:r>
      <w:r>
        <w:rPr>
          <w:rtl/>
        </w:rPr>
        <w:t>يمكن تخصيصه للعلامات المُجمَّعة</w:t>
      </w:r>
      <w:r>
        <w:rPr>
          <w:rFonts w:hint="cs"/>
          <w:rtl/>
        </w:rPr>
        <w:t>."</w:t>
      </w:r>
    </w:p>
    <w:p w:rsidR="001513BD" w:rsidRDefault="001513BD" w:rsidP="001513BD">
      <w:pPr>
        <w:pStyle w:val="BodyTextFirstIndent"/>
        <w:rPr>
          <w:rtl/>
        </w:rPr>
      </w:pPr>
      <w:r>
        <w:rPr>
          <w:rFonts w:hint="cs"/>
          <w:rtl/>
        </w:rPr>
        <w:lastRenderedPageBreak/>
        <w:t xml:space="preserve">وأحالت لجنة المعايير المهمة الجديدة إلى فرقة العمل المعنية بتوحيد العلامات التجارية لمواصلة النظر فيها، وطلبت اللجنة إلى فرقة العمل أن تقدم إليها مقترحاً أو تقريراً مرحلياً في دورتها السابعة (انظر الفقرات من 128 إلى 133 في الوثيقة </w:t>
      </w:r>
      <w:r>
        <w:t>CWS/6/34</w:t>
      </w:r>
      <w:r>
        <w:rPr>
          <w:rFonts w:hint="cs"/>
          <w:rtl/>
        </w:rPr>
        <w:t>).</w:t>
      </w:r>
    </w:p>
    <w:p w:rsidR="000D7E81" w:rsidRPr="000D7E81" w:rsidRDefault="001513BD" w:rsidP="001513BD">
      <w:pPr>
        <w:pStyle w:val="Heading3"/>
        <w:rPr>
          <w:rtl/>
        </w:rPr>
      </w:pPr>
      <w:r>
        <w:rPr>
          <w:rFonts w:hint="cs"/>
          <w:rtl/>
        </w:rPr>
        <w:t>التنقيحات المقترحة</w:t>
      </w:r>
    </w:p>
    <w:p w:rsidR="001513BD" w:rsidRDefault="001513BD" w:rsidP="001513BD">
      <w:pPr>
        <w:pStyle w:val="ONUMA"/>
      </w:pPr>
      <w:r w:rsidRPr="00C70CBE">
        <w:rPr>
          <w:rtl/>
        </w:rPr>
        <w:t>نظرت فرقة العمل المعنية بتوحيد العلامات التجارية</w:t>
      </w:r>
      <w:r>
        <w:rPr>
          <w:rFonts w:hint="cs"/>
          <w:rtl/>
        </w:rPr>
        <w:t>، في إطار المهمة رقم 60،</w:t>
      </w:r>
      <w:r w:rsidRPr="00C70CBE">
        <w:rPr>
          <w:rtl/>
        </w:rPr>
        <w:t xml:space="preserve"> في القضايا الثلاث </w:t>
      </w:r>
      <w:r>
        <w:rPr>
          <w:rFonts w:hint="cs"/>
          <w:rtl/>
          <w:lang w:bidi="ar-SY"/>
        </w:rPr>
        <w:t>التي تشملها</w:t>
      </w:r>
      <w:r>
        <w:rPr>
          <w:rtl/>
        </w:rPr>
        <w:t xml:space="preserve"> المهمة</w:t>
      </w:r>
      <w:r>
        <w:rPr>
          <w:rFonts w:hint="cs"/>
          <w:rtl/>
        </w:rPr>
        <w:t xml:space="preserve">، </w:t>
      </w:r>
      <w:r w:rsidRPr="00C70CBE">
        <w:rPr>
          <w:rtl/>
        </w:rPr>
        <w:t xml:space="preserve">وأجرت مناقشات على الإنترنت بشأنها. كما أجرى المكتب الدولي مناقشات </w:t>
      </w:r>
      <w:r>
        <w:rPr>
          <w:rtl/>
        </w:rPr>
        <w:t>داخلية مع وحدات العمل ذات الصلة</w:t>
      </w:r>
      <w:r w:rsidRPr="00C70CBE">
        <w:rPr>
          <w:rtl/>
        </w:rPr>
        <w:t>، بما في ذلك نظام مدريد</w:t>
      </w:r>
      <w:r>
        <w:rPr>
          <w:rFonts w:hint="cs"/>
          <w:rtl/>
        </w:rPr>
        <w:t xml:space="preserve">، </w:t>
      </w:r>
      <w:r w:rsidRPr="00C70CBE">
        <w:rPr>
          <w:rtl/>
        </w:rPr>
        <w:t>حول هذه القضايا.</w:t>
      </w:r>
    </w:p>
    <w:p w:rsidR="00FD6D15" w:rsidRPr="001513BD" w:rsidRDefault="001513BD" w:rsidP="003F594F">
      <w:pPr>
        <w:pStyle w:val="ONUMA"/>
      </w:pPr>
      <w:r>
        <w:rPr>
          <w:rFonts w:hint="cs"/>
          <w:rtl/>
        </w:rPr>
        <w:t>و</w:t>
      </w:r>
      <w:r w:rsidRPr="00C70CBE">
        <w:rPr>
          <w:rtl/>
        </w:rPr>
        <w:t xml:space="preserve">فيما يتعلق بموضوع البحث عن </w:t>
      </w:r>
      <w:r>
        <w:rPr>
          <w:rFonts w:hint="cs"/>
          <w:rtl/>
        </w:rPr>
        <w:t>رموز أرقام</w:t>
      </w:r>
      <w:r w:rsidRPr="000D74C9">
        <w:rPr>
          <w:rtl/>
          <w:lang w:bidi="ar-EG"/>
        </w:rPr>
        <w:t xml:space="preserve"> </w:t>
      </w:r>
      <w:r w:rsidRPr="00C70CBE">
        <w:rPr>
          <w:rtl/>
        </w:rPr>
        <w:t>م</w:t>
      </w:r>
      <w:r>
        <w:rPr>
          <w:rtl/>
        </w:rPr>
        <w:t>ناسب</w:t>
      </w:r>
      <w:r>
        <w:rPr>
          <w:rFonts w:hint="cs"/>
          <w:rtl/>
        </w:rPr>
        <w:t>ة</w:t>
      </w:r>
      <w:r w:rsidRPr="00C70CBE">
        <w:rPr>
          <w:rtl/>
        </w:rPr>
        <w:t xml:space="preserve"> </w:t>
      </w:r>
      <w:r>
        <w:rPr>
          <w:rFonts w:hint="cs"/>
          <w:rtl/>
          <w:lang w:bidi="ar-EG"/>
        </w:rPr>
        <w:t>ل</w:t>
      </w:r>
      <w:r w:rsidRPr="000D74C9">
        <w:rPr>
          <w:rtl/>
          <w:lang w:bidi="ar-EG"/>
        </w:rPr>
        <w:t>لعلامات اللفظية والعلامات التصويرية</w:t>
      </w:r>
      <w:r w:rsidRPr="00C70CBE">
        <w:rPr>
          <w:rtl/>
        </w:rPr>
        <w:t xml:space="preserve">، </w:t>
      </w:r>
      <w:r>
        <w:rPr>
          <w:rFonts w:hint="cs"/>
          <w:rtl/>
        </w:rPr>
        <w:t>نظرت</w:t>
      </w:r>
      <w:r w:rsidRPr="00C70CBE">
        <w:rPr>
          <w:rtl/>
        </w:rPr>
        <w:t xml:space="preserve"> فرقة العمل</w:t>
      </w:r>
      <w:r>
        <w:rPr>
          <w:rFonts w:hint="cs"/>
          <w:rtl/>
        </w:rPr>
        <w:t xml:space="preserve"> في النطاقات الممكنة ضمن معيار الويبو </w:t>
      </w:r>
      <w:r>
        <w:t>ST.60</w:t>
      </w:r>
      <w:r>
        <w:rPr>
          <w:rFonts w:hint="cs"/>
          <w:rtl/>
          <w:lang w:bidi="ar-SY"/>
        </w:rPr>
        <w:t xml:space="preserve">. ويبدو أن النطاق </w:t>
      </w:r>
      <w:r>
        <w:rPr>
          <w:lang w:bidi="ar-SY"/>
        </w:rPr>
        <w:t>59x</w:t>
      </w:r>
      <w:r>
        <w:rPr>
          <w:rFonts w:hint="cs"/>
          <w:rtl/>
          <w:lang w:bidi="ar-SY"/>
        </w:rPr>
        <w:t xml:space="preserve"> ه</w:t>
      </w:r>
      <w:r w:rsidR="003F594F">
        <w:rPr>
          <w:rFonts w:hint="cs"/>
          <w:rtl/>
          <w:lang w:bidi="ar-SY"/>
        </w:rPr>
        <w:t xml:space="preserve">و النطاق الأنسب للرموز الجديدة إذ </w:t>
      </w:r>
      <w:r>
        <w:rPr>
          <w:rFonts w:hint="cs"/>
          <w:rtl/>
          <w:lang w:bidi="ar-SY"/>
        </w:rPr>
        <w:t xml:space="preserve">تُستخدم </w:t>
      </w:r>
      <w:r w:rsidR="003F594F">
        <w:rPr>
          <w:rFonts w:hint="cs"/>
          <w:rtl/>
          <w:lang w:bidi="ar-SY"/>
        </w:rPr>
        <w:t>بالفعل</w:t>
      </w:r>
      <w:r>
        <w:rPr>
          <w:rFonts w:hint="cs"/>
          <w:rtl/>
          <w:lang w:bidi="ar-SY"/>
        </w:rPr>
        <w:t xml:space="preserve"> </w:t>
      </w:r>
      <w:r w:rsidR="003F594F">
        <w:rPr>
          <w:rFonts w:hint="cs"/>
          <w:rtl/>
          <w:lang w:bidi="ar-SY"/>
        </w:rPr>
        <w:t>كافة</w:t>
      </w:r>
      <w:r>
        <w:rPr>
          <w:rFonts w:hint="cs"/>
          <w:rtl/>
          <w:lang w:bidi="ar-SY"/>
        </w:rPr>
        <w:t xml:space="preserve"> النطاقات من </w:t>
      </w:r>
      <w:r>
        <w:rPr>
          <w:lang w:bidi="ar-SY"/>
        </w:rPr>
        <w:t>53x</w:t>
      </w:r>
      <w:r>
        <w:rPr>
          <w:rFonts w:hint="cs"/>
          <w:rtl/>
          <w:lang w:val="fr-CH" w:bidi="ar-SY"/>
        </w:rPr>
        <w:t xml:space="preserve"> إلى </w:t>
      </w:r>
      <w:r>
        <w:rPr>
          <w:lang w:bidi="ar-SY"/>
        </w:rPr>
        <w:t>59x</w:t>
      </w:r>
      <w:r>
        <w:rPr>
          <w:rFonts w:hint="cs"/>
          <w:rtl/>
          <w:lang w:val="fr-CH" w:bidi="ar-SY"/>
        </w:rPr>
        <w:t xml:space="preserve"> في المعيار </w:t>
      </w:r>
      <w:r>
        <w:rPr>
          <w:lang w:bidi="ar-SY"/>
        </w:rPr>
        <w:t>ST.60</w:t>
      </w:r>
      <w:r>
        <w:rPr>
          <w:rFonts w:hint="cs"/>
          <w:rtl/>
          <w:lang w:val="fr-CH" w:bidi="ar-SY"/>
        </w:rPr>
        <w:t>:</w:t>
      </w:r>
    </w:p>
    <w:p w:rsidR="001513BD" w:rsidRDefault="00653FEA" w:rsidP="00653FEA">
      <w:pPr>
        <w:pStyle w:val="BodyTextFirstIndent"/>
        <w:numPr>
          <w:ilvl w:val="0"/>
          <w:numId w:val="45"/>
        </w:numPr>
        <w:spacing w:before="0"/>
        <w:ind w:left="922"/>
      </w:pPr>
      <w:r>
        <w:rPr>
          <w:rFonts w:hint="cs"/>
          <w:rtl/>
        </w:rPr>
        <w:t>ت</w:t>
      </w:r>
      <w:r w:rsidR="003F594F">
        <w:rPr>
          <w:rFonts w:hint="cs"/>
          <w:rtl/>
        </w:rPr>
        <w:t>ُ</w:t>
      </w:r>
      <w:r>
        <w:rPr>
          <w:rFonts w:hint="cs"/>
          <w:rtl/>
        </w:rPr>
        <w:t xml:space="preserve">ستخدم </w:t>
      </w:r>
      <w:r w:rsidR="001513BD">
        <w:rPr>
          <w:rFonts w:hint="cs"/>
          <w:rtl/>
        </w:rPr>
        <w:t xml:space="preserve">الرموز من 531 إلى 591 </w:t>
      </w:r>
      <w:r>
        <w:rPr>
          <w:rFonts w:hint="cs"/>
          <w:rtl/>
        </w:rPr>
        <w:t>لوصف عناصر العلامة؛</w:t>
      </w:r>
    </w:p>
    <w:p w:rsidR="00653FEA" w:rsidRPr="00653FEA" w:rsidRDefault="003F594F" w:rsidP="00653FEA">
      <w:pPr>
        <w:pStyle w:val="BodyTextFirstIndent"/>
        <w:numPr>
          <w:ilvl w:val="0"/>
          <w:numId w:val="45"/>
        </w:numPr>
        <w:spacing w:before="0"/>
        <w:ind w:left="922"/>
      </w:pPr>
      <w:r>
        <w:rPr>
          <w:rFonts w:hint="cs"/>
          <w:rtl/>
        </w:rPr>
        <w:t xml:space="preserve">تُستخدم </w:t>
      </w:r>
      <w:r w:rsidR="00653FEA">
        <w:rPr>
          <w:rFonts w:hint="cs"/>
          <w:rtl/>
        </w:rPr>
        <w:t xml:space="preserve">رموز النطاق </w:t>
      </w:r>
      <w:r w:rsidR="00653FEA">
        <w:t>53x</w:t>
      </w:r>
      <w:r w:rsidR="00653FEA">
        <w:rPr>
          <w:rFonts w:hint="cs"/>
          <w:rtl/>
          <w:lang w:val="fr-CH" w:bidi="ar-SY"/>
        </w:rPr>
        <w:t xml:space="preserve"> لنوع التصنيف؛</w:t>
      </w:r>
    </w:p>
    <w:p w:rsidR="00653FEA" w:rsidRPr="00653FEA" w:rsidRDefault="003F594F" w:rsidP="00653FEA">
      <w:pPr>
        <w:pStyle w:val="BodyTextFirstIndent"/>
        <w:numPr>
          <w:ilvl w:val="0"/>
          <w:numId w:val="45"/>
        </w:numPr>
        <w:spacing w:before="0"/>
        <w:ind w:left="922"/>
      </w:pPr>
      <w:r>
        <w:rPr>
          <w:rFonts w:hint="cs"/>
          <w:rtl/>
        </w:rPr>
        <w:t xml:space="preserve">تُستخدم </w:t>
      </w:r>
      <w:r w:rsidR="00653FEA">
        <w:rPr>
          <w:rFonts w:hint="cs"/>
          <w:rtl/>
        </w:rPr>
        <w:t xml:space="preserve">رموز النطاق </w:t>
      </w:r>
      <w:r w:rsidR="00653FEA">
        <w:t>54x</w:t>
      </w:r>
      <w:r w:rsidR="00653FEA">
        <w:rPr>
          <w:rFonts w:hint="cs"/>
          <w:rtl/>
          <w:lang w:val="fr-CH" w:bidi="ar-SY"/>
        </w:rPr>
        <w:t xml:space="preserve"> لاستنساخ العلامة؛</w:t>
      </w:r>
    </w:p>
    <w:p w:rsidR="00653FEA" w:rsidRPr="00653FEA" w:rsidRDefault="00653FEA" w:rsidP="003F594F">
      <w:pPr>
        <w:pStyle w:val="BodyTextFirstIndent"/>
        <w:numPr>
          <w:ilvl w:val="0"/>
          <w:numId w:val="45"/>
        </w:numPr>
        <w:spacing w:before="0"/>
        <w:ind w:left="922"/>
      </w:pPr>
      <w:r>
        <w:rPr>
          <w:rFonts w:hint="cs"/>
          <w:rtl/>
          <w:lang w:val="fr-CH" w:bidi="ar-SY"/>
        </w:rPr>
        <w:t xml:space="preserve">تشير </w:t>
      </w:r>
      <w:r>
        <w:rPr>
          <w:rFonts w:hint="cs"/>
          <w:rtl/>
        </w:rPr>
        <w:t xml:space="preserve">رموز النطاق </w:t>
      </w:r>
      <w:r>
        <w:t>55x</w:t>
      </w:r>
      <w:r>
        <w:rPr>
          <w:rFonts w:hint="cs"/>
          <w:rtl/>
          <w:lang w:val="fr-CH" w:bidi="ar-SY"/>
        </w:rPr>
        <w:t xml:space="preserve"> إلى نوع العلامة. وتستخدم الرموز</w:t>
      </w:r>
      <w:r w:rsidR="003F594F" w:rsidRPr="003F594F">
        <w:rPr>
          <w:rFonts w:hint="cs"/>
          <w:rtl/>
          <w:lang w:val="fr-CH" w:bidi="ar-SY"/>
        </w:rPr>
        <w:t xml:space="preserve"> </w:t>
      </w:r>
      <w:r w:rsidR="003F594F">
        <w:rPr>
          <w:rFonts w:hint="cs"/>
          <w:rtl/>
          <w:lang w:val="fr-CH" w:bidi="ar-SY"/>
        </w:rPr>
        <w:t>جميعها</w:t>
      </w:r>
      <w:r>
        <w:rPr>
          <w:rFonts w:hint="cs"/>
          <w:rtl/>
          <w:lang w:val="fr-CH" w:bidi="ar-SY"/>
        </w:rPr>
        <w:t>؛</w:t>
      </w:r>
    </w:p>
    <w:p w:rsidR="00653FEA" w:rsidRDefault="00653FEA" w:rsidP="00653FEA">
      <w:pPr>
        <w:pStyle w:val="BodyTextFirstIndent"/>
        <w:numPr>
          <w:ilvl w:val="0"/>
          <w:numId w:val="45"/>
        </w:numPr>
        <w:spacing w:before="0"/>
        <w:ind w:left="922"/>
      </w:pPr>
      <w:r>
        <w:rPr>
          <w:rFonts w:hint="cs"/>
          <w:rtl/>
        </w:rPr>
        <w:t>يخ</w:t>
      </w:r>
      <w:r w:rsidR="003F594F">
        <w:rPr>
          <w:rFonts w:hint="cs"/>
          <w:rtl/>
        </w:rPr>
        <w:t>ُ</w:t>
      </w:r>
      <w:r>
        <w:rPr>
          <w:rFonts w:hint="cs"/>
          <w:rtl/>
        </w:rPr>
        <w:t>صص الرمزان 561 و566 للترجمة أو النقل الحرفي؛</w:t>
      </w:r>
    </w:p>
    <w:p w:rsidR="00653FEA" w:rsidRDefault="00653FEA" w:rsidP="00653FEA">
      <w:pPr>
        <w:pStyle w:val="BodyTextFirstIndent"/>
        <w:numPr>
          <w:ilvl w:val="0"/>
          <w:numId w:val="45"/>
        </w:numPr>
        <w:spacing w:before="0"/>
        <w:ind w:left="922"/>
      </w:pPr>
      <w:r>
        <w:rPr>
          <w:rFonts w:hint="cs"/>
          <w:rtl/>
        </w:rPr>
        <w:t>يخ</w:t>
      </w:r>
      <w:r w:rsidR="003F594F">
        <w:rPr>
          <w:rFonts w:hint="cs"/>
          <w:rtl/>
        </w:rPr>
        <w:t>ُ</w:t>
      </w:r>
      <w:r>
        <w:rPr>
          <w:rFonts w:hint="cs"/>
          <w:rtl/>
        </w:rPr>
        <w:t>صص الرمز 571 لوصف العلامة؛</w:t>
      </w:r>
    </w:p>
    <w:p w:rsidR="00653FEA" w:rsidRPr="00653FEA" w:rsidRDefault="003F594F" w:rsidP="00653FEA">
      <w:pPr>
        <w:pStyle w:val="BodyTextFirstIndent"/>
        <w:numPr>
          <w:ilvl w:val="0"/>
          <w:numId w:val="45"/>
        </w:numPr>
        <w:spacing w:before="0"/>
        <w:ind w:left="922"/>
      </w:pPr>
      <w:r>
        <w:rPr>
          <w:rFonts w:hint="cs"/>
          <w:rtl/>
        </w:rPr>
        <w:t xml:space="preserve">تُستخدم </w:t>
      </w:r>
      <w:r w:rsidR="00653FEA">
        <w:rPr>
          <w:rFonts w:hint="cs"/>
          <w:rtl/>
        </w:rPr>
        <w:t xml:space="preserve">رموز النطاق </w:t>
      </w:r>
      <w:r w:rsidR="00653FEA">
        <w:t>58x</w:t>
      </w:r>
      <w:r w:rsidR="00653FEA">
        <w:rPr>
          <w:rFonts w:hint="cs"/>
          <w:rtl/>
          <w:lang w:val="fr-CH" w:bidi="ar-SY"/>
        </w:rPr>
        <w:t xml:space="preserve"> لأحدث المعلومات</w:t>
      </w:r>
    </w:p>
    <w:p w:rsidR="00653FEA" w:rsidRPr="00C41AE0" w:rsidRDefault="00653FEA" w:rsidP="003F594F">
      <w:pPr>
        <w:pStyle w:val="BodyTextFirstIndent"/>
        <w:numPr>
          <w:ilvl w:val="0"/>
          <w:numId w:val="45"/>
        </w:numPr>
        <w:spacing w:before="0"/>
        <w:ind w:left="922"/>
        <w:rPr>
          <w:rtl/>
        </w:rPr>
      </w:pPr>
      <w:r>
        <w:rPr>
          <w:rFonts w:hint="cs"/>
          <w:rtl/>
        </w:rPr>
        <w:t xml:space="preserve">يتعلق الرمز 591 بألوان العلامة. أما </w:t>
      </w:r>
      <w:r w:rsidR="003F594F">
        <w:rPr>
          <w:rFonts w:hint="cs"/>
          <w:rtl/>
        </w:rPr>
        <w:t>ما تبقى</w:t>
      </w:r>
      <w:r>
        <w:rPr>
          <w:rFonts w:hint="cs"/>
          <w:rtl/>
        </w:rPr>
        <w:t xml:space="preserve"> في النطاق </w:t>
      </w:r>
      <w:r>
        <w:t>59x</w:t>
      </w:r>
      <w:r w:rsidR="003F594F">
        <w:rPr>
          <w:rFonts w:hint="cs"/>
          <w:rtl/>
          <w:lang w:bidi="ar-SY"/>
        </w:rPr>
        <w:t xml:space="preserve"> فهو غير مستخدم</w:t>
      </w:r>
      <w:r>
        <w:rPr>
          <w:rFonts w:hint="cs"/>
          <w:rtl/>
          <w:lang w:bidi="ar-SY"/>
        </w:rPr>
        <w:t>.</w:t>
      </w:r>
    </w:p>
    <w:p w:rsidR="00C50A61" w:rsidRDefault="00E579DE" w:rsidP="00D506C3">
      <w:pPr>
        <w:pStyle w:val="ONUMA"/>
        <w:rPr>
          <w:rtl/>
        </w:rPr>
      </w:pPr>
      <w:bookmarkStart w:id="13" w:name="ExtraPara"/>
      <w:bookmarkEnd w:id="13"/>
      <w:r>
        <w:rPr>
          <w:rFonts w:hint="cs"/>
          <w:rtl/>
        </w:rPr>
        <w:t>و</w:t>
      </w:r>
      <w:r>
        <w:rPr>
          <w:rtl/>
        </w:rPr>
        <w:t>نظر</w:t>
      </w:r>
      <w:r>
        <w:rPr>
          <w:rFonts w:hint="cs"/>
          <w:rtl/>
        </w:rPr>
        <w:t>اً</w:t>
      </w:r>
      <w:r w:rsidR="00653FEA" w:rsidRPr="00653FEA">
        <w:rPr>
          <w:rtl/>
        </w:rPr>
        <w:t xml:space="preserve"> لأن النطاق </w:t>
      </w:r>
      <w:r>
        <w:t>55x</w:t>
      </w:r>
      <w:r>
        <w:rPr>
          <w:rFonts w:hint="cs"/>
          <w:rtl/>
          <w:lang w:val="fr-CH" w:bidi="ar-SY"/>
        </w:rPr>
        <w:t xml:space="preserve"> </w:t>
      </w:r>
      <w:r w:rsidR="00653FEA">
        <w:rPr>
          <w:rFonts w:hint="cs"/>
          <w:rtl/>
        </w:rPr>
        <w:t>مستخدم بالكامل</w:t>
      </w:r>
      <w:r w:rsidR="00653FEA" w:rsidRPr="00653FEA">
        <w:rPr>
          <w:rtl/>
        </w:rPr>
        <w:t xml:space="preserve">، </w:t>
      </w:r>
      <w:r>
        <w:rPr>
          <w:rFonts w:hint="cs"/>
          <w:rtl/>
        </w:rPr>
        <w:t xml:space="preserve">وأن </w:t>
      </w:r>
      <w:r w:rsidR="00653FEA" w:rsidRPr="00653FEA">
        <w:rPr>
          <w:rtl/>
        </w:rPr>
        <w:t xml:space="preserve">النطاقات الأخرى بين </w:t>
      </w:r>
      <w:r>
        <w:t>53x</w:t>
      </w:r>
      <w:r w:rsidR="00653FEA" w:rsidRPr="00653FEA">
        <w:rPr>
          <w:rtl/>
        </w:rPr>
        <w:t xml:space="preserve"> و</w:t>
      </w:r>
      <w:r w:rsidR="00653FEA" w:rsidRPr="00653FEA">
        <w:t>x</w:t>
      </w:r>
      <w:r w:rsidR="00653FEA" w:rsidRPr="00653FEA">
        <w:rPr>
          <w:rtl/>
        </w:rPr>
        <w:t>58</w:t>
      </w:r>
      <w:r>
        <w:rPr>
          <w:rFonts w:hint="cs"/>
          <w:rtl/>
        </w:rPr>
        <w:t xml:space="preserve"> مخصصة</w:t>
      </w:r>
      <w:r w:rsidRPr="00653FEA">
        <w:rPr>
          <w:rtl/>
        </w:rPr>
        <w:t xml:space="preserve"> </w:t>
      </w:r>
      <w:r w:rsidR="00653FEA" w:rsidRPr="00653FEA">
        <w:rPr>
          <w:rtl/>
        </w:rPr>
        <w:t>لأنواع مختلفة من الم</w:t>
      </w:r>
      <w:r w:rsidR="00653FEA">
        <w:rPr>
          <w:rtl/>
        </w:rPr>
        <w:t xml:space="preserve">علومات إلى </w:t>
      </w:r>
      <w:r>
        <w:rPr>
          <w:rFonts w:hint="cs"/>
          <w:rtl/>
        </w:rPr>
        <w:t xml:space="preserve">جانب </w:t>
      </w:r>
      <w:r w:rsidR="00653FEA">
        <w:rPr>
          <w:rtl/>
        </w:rPr>
        <w:t>نوع العلامة</w:t>
      </w:r>
      <w:r w:rsidR="00653FEA" w:rsidRPr="00653FEA">
        <w:rPr>
          <w:rtl/>
        </w:rPr>
        <w:t xml:space="preserve">، </w:t>
      </w:r>
      <w:r>
        <w:rPr>
          <w:rFonts w:hint="cs"/>
          <w:rtl/>
        </w:rPr>
        <w:t xml:space="preserve">فإن </w:t>
      </w:r>
      <w:r w:rsidR="00653FEA" w:rsidRPr="00653FEA">
        <w:rPr>
          <w:rtl/>
        </w:rPr>
        <w:t xml:space="preserve">فرقة العمل </w:t>
      </w:r>
      <w:r>
        <w:rPr>
          <w:rFonts w:hint="cs"/>
          <w:rtl/>
        </w:rPr>
        <w:t>تعتبر أن النطاق</w:t>
      </w:r>
      <w:r w:rsidRPr="00653FEA">
        <w:rPr>
          <w:rtl/>
        </w:rPr>
        <w:t xml:space="preserve"> </w:t>
      </w:r>
      <w:r>
        <w:t>59x</w:t>
      </w:r>
      <w:r>
        <w:rPr>
          <w:rFonts w:hint="cs"/>
          <w:rtl/>
          <w:lang w:val="fr-CH" w:bidi="ar-SY"/>
        </w:rPr>
        <w:t xml:space="preserve"> هو</w:t>
      </w:r>
      <w:r w:rsidR="00653FEA" w:rsidRPr="00653FEA">
        <w:rPr>
          <w:rtl/>
        </w:rPr>
        <w:t xml:space="preserve"> أفضل </w:t>
      </w:r>
      <w:r>
        <w:rPr>
          <w:rFonts w:hint="cs"/>
          <w:rtl/>
        </w:rPr>
        <w:t>نطاق</w:t>
      </w:r>
      <w:r>
        <w:rPr>
          <w:rtl/>
        </w:rPr>
        <w:t xml:space="preserve"> ل</w:t>
      </w:r>
      <w:r w:rsidR="003F594F">
        <w:rPr>
          <w:rFonts w:hint="cs"/>
          <w:rtl/>
        </w:rPr>
        <w:t>احتضان ا</w:t>
      </w:r>
      <w:r>
        <w:rPr>
          <w:rtl/>
        </w:rPr>
        <w:t xml:space="preserve">لرموز الجديدة </w:t>
      </w:r>
      <w:r>
        <w:rPr>
          <w:rFonts w:hint="cs"/>
          <w:rtl/>
        </w:rPr>
        <w:t xml:space="preserve">فيما يتعلق بالعلامات اللفظية </w:t>
      </w:r>
      <w:r w:rsidR="00653FEA" w:rsidRPr="00653FEA">
        <w:rPr>
          <w:rtl/>
        </w:rPr>
        <w:t>والعلامات التصويرية.</w:t>
      </w:r>
    </w:p>
    <w:p w:rsidR="00E579DE" w:rsidRDefault="00E579DE" w:rsidP="003F594F">
      <w:pPr>
        <w:pStyle w:val="ONUMA"/>
      </w:pPr>
      <w:r>
        <w:rPr>
          <w:rFonts w:hint="cs"/>
          <w:rtl/>
        </w:rPr>
        <w:t>و</w:t>
      </w:r>
      <w:r w:rsidRPr="00E579DE">
        <w:rPr>
          <w:rtl/>
        </w:rPr>
        <w:t xml:space="preserve">تقترح فرقة العمل إضافة الرموز التالية إلى </w:t>
      </w:r>
      <w:r>
        <w:rPr>
          <w:rFonts w:hint="cs"/>
          <w:rtl/>
        </w:rPr>
        <w:t xml:space="preserve">معيار </w:t>
      </w:r>
      <w:r w:rsidRPr="00E579DE">
        <w:rPr>
          <w:rtl/>
        </w:rPr>
        <w:t xml:space="preserve">الويبو </w:t>
      </w:r>
      <w:r w:rsidRPr="00E579DE">
        <w:t>ST.60</w:t>
      </w:r>
      <w:r w:rsidRPr="00E579DE">
        <w:rPr>
          <w:rtl/>
        </w:rPr>
        <w:t xml:space="preserve">، مع </w:t>
      </w:r>
      <w:r w:rsidR="003F594F">
        <w:rPr>
          <w:rFonts w:hint="cs"/>
          <w:rtl/>
        </w:rPr>
        <w:t xml:space="preserve">إرفاق </w:t>
      </w:r>
      <w:r w:rsidRPr="00E579DE">
        <w:rPr>
          <w:rtl/>
        </w:rPr>
        <w:t xml:space="preserve">ملاحظة بسجل التغيير في </w:t>
      </w:r>
      <w:r>
        <w:rPr>
          <w:rFonts w:hint="cs"/>
          <w:rtl/>
        </w:rPr>
        <w:t>الملحق</w:t>
      </w:r>
      <w:r w:rsidRPr="00E579DE">
        <w:rPr>
          <w:rtl/>
        </w:rPr>
        <w:t xml:space="preserve"> 2 </w:t>
      </w:r>
      <w:r>
        <w:rPr>
          <w:rFonts w:hint="cs"/>
          <w:rtl/>
        </w:rPr>
        <w:t xml:space="preserve">بمعيار </w:t>
      </w:r>
      <w:r w:rsidRPr="00E579DE">
        <w:rPr>
          <w:rtl/>
        </w:rPr>
        <w:t xml:space="preserve">الويبو </w:t>
      </w:r>
      <w:r w:rsidRPr="00E579DE">
        <w:t>ST.60</w:t>
      </w:r>
      <w:r w:rsidRPr="00E579DE">
        <w:rPr>
          <w:rtl/>
        </w:rPr>
        <w:t>:</w:t>
      </w:r>
    </w:p>
    <w:p w:rsidR="00E579DE" w:rsidRDefault="00E579DE" w:rsidP="00E579DE">
      <w:pPr>
        <w:pStyle w:val="ONUMA"/>
        <w:numPr>
          <w:ilvl w:val="0"/>
          <w:numId w:val="0"/>
        </w:numPr>
        <w:rPr>
          <w:rtl/>
        </w:rPr>
      </w:pPr>
      <w:r>
        <w:rPr>
          <w:rFonts w:hint="cs"/>
          <w:rtl/>
        </w:rPr>
        <w:t>الصفحة 4:</w:t>
      </w:r>
    </w:p>
    <w:p w:rsidR="00E579DE" w:rsidRDefault="00E579DE" w:rsidP="00E579DE">
      <w:pPr>
        <w:pStyle w:val="BodyTextFirstIndent"/>
        <w:spacing w:before="0"/>
        <w:ind w:left="562"/>
        <w:rPr>
          <w:rtl/>
        </w:rPr>
      </w:pPr>
      <w:r>
        <w:rPr>
          <w:rFonts w:hint="cs"/>
          <w:rtl/>
        </w:rPr>
        <w:t>وصف العناصر التصو</w:t>
      </w:r>
      <w:r w:rsidR="007A67F2">
        <w:rPr>
          <w:rFonts w:hint="cs"/>
          <w:rtl/>
        </w:rPr>
        <w:t>ي</w:t>
      </w:r>
      <w:r>
        <w:rPr>
          <w:rFonts w:hint="cs"/>
          <w:rtl/>
        </w:rPr>
        <w:t>رية الخاصة بالعلامة</w:t>
      </w:r>
    </w:p>
    <w:p w:rsidR="00E579DE" w:rsidRDefault="00E579DE" w:rsidP="00E579DE">
      <w:pPr>
        <w:pStyle w:val="BodyTextFirstIndent"/>
        <w:spacing w:before="0"/>
        <w:ind w:left="562"/>
        <w:rPr>
          <w:rtl/>
        </w:rPr>
      </w:pPr>
      <w:r>
        <w:rPr>
          <w:rtl/>
        </w:rPr>
        <w:tab/>
      </w:r>
      <w:r>
        <w:rPr>
          <w:rFonts w:hint="cs"/>
          <w:rtl/>
        </w:rPr>
        <w:t>...</w:t>
      </w:r>
    </w:p>
    <w:p w:rsidR="00E579DE" w:rsidRDefault="00E579DE" w:rsidP="00E579DE">
      <w:pPr>
        <w:pStyle w:val="BodyTextFirstIndent"/>
        <w:spacing w:before="0"/>
        <w:ind w:left="562"/>
        <w:rPr>
          <w:rtl/>
        </w:rPr>
      </w:pPr>
      <w:r>
        <w:rPr>
          <w:rtl/>
        </w:rPr>
        <w:tab/>
      </w:r>
      <w:r>
        <w:rPr>
          <w:rFonts w:hint="cs"/>
          <w:rtl/>
        </w:rPr>
        <w:t>(581)</w:t>
      </w:r>
      <w:r>
        <w:rPr>
          <w:rFonts w:hint="cs"/>
          <w:rtl/>
        </w:rPr>
        <w:tab/>
      </w:r>
      <w:r w:rsidR="007A67F2">
        <w:rPr>
          <w:rtl/>
        </w:rPr>
        <w:t>تاريخ الإخطار الذي يرسله المكتب</w:t>
      </w:r>
      <w:r w:rsidRPr="00E579DE">
        <w:rPr>
          <w:rtl/>
        </w:rPr>
        <w:t xml:space="preserve"> الدولي إل</w:t>
      </w:r>
      <w:r>
        <w:rPr>
          <w:rtl/>
        </w:rPr>
        <w:t>ى الأطراف المتعاقدة المُعيَّنة</w:t>
      </w:r>
    </w:p>
    <w:p w:rsidR="00E579DE" w:rsidRDefault="00E579DE" w:rsidP="00E579DE">
      <w:pPr>
        <w:pStyle w:val="BodyTextFirstIndent"/>
        <w:spacing w:before="0"/>
        <w:ind w:left="562"/>
        <w:rPr>
          <w:rtl/>
        </w:rPr>
      </w:pPr>
      <w:r>
        <w:rPr>
          <w:rtl/>
        </w:rPr>
        <w:tab/>
      </w:r>
      <w:r>
        <w:rPr>
          <w:rFonts w:hint="cs"/>
          <w:rtl/>
        </w:rPr>
        <w:t>(591)</w:t>
      </w:r>
      <w:r>
        <w:rPr>
          <w:rtl/>
        </w:rPr>
        <w:tab/>
      </w:r>
      <w:r>
        <w:rPr>
          <w:rFonts w:hint="cs"/>
          <w:rtl/>
        </w:rPr>
        <w:t>معلومات عن الألوان المُطالب بها</w:t>
      </w:r>
    </w:p>
    <w:p w:rsidR="00E579DE" w:rsidRPr="00E579DE" w:rsidRDefault="00E579DE" w:rsidP="00E579DE">
      <w:pPr>
        <w:pStyle w:val="BodyTextFirstIndent"/>
        <w:spacing w:before="0"/>
        <w:ind w:left="562"/>
        <w:rPr>
          <w:u w:val="single"/>
          <w:rtl/>
        </w:rPr>
      </w:pPr>
      <w:r w:rsidRPr="00E579DE">
        <w:rPr>
          <w:u w:val="single"/>
          <w:rtl/>
        </w:rPr>
        <w:tab/>
      </w:r>
      <w:r w:rsidRPr="00E579DE">
        <w:rPr>
          <w:rFonts w:hint="cs"/>
          <w:u w:val="single"/>
          <w:rtl/>
        </w:rPr>
        <w:t>(592)</w:t>
      </w:r>
      <w:r w:rsidRPr="00E579DE">
        <w:rPr>
          <w:u w:val="single"/>
          <w:rtl/>
        </w:rPr>
        <w:tab/>
      </w:r>
      <w:r w:rsidRPr="00E579DE">
        <w:rPr>
          <w:rFonts w:hint="cs"/>
          <w:u w:val="single"/>
          <w:rtl/>
        </w:rPr>
        <w:t>العلامة اللفظية</w:t>
      </w:r>
    </w:p>
    <w:p w:rsidR="00E579DE" w:rsidRPr="00E579DE" w:rsidRDefault="00E579DE" w:rsidP="00E579DE">
      <w:pPr>
        <w:pStyle w:val="BodyTextFirstIndent"/>
        <w:spacing w:before="0"/>
        <w:ind w:left="562"/>
        <w:rPr>
          <w:u w:val="single"/>
          <w:rtl/>
        </w:rPr>
      </w:pPr>
      <w:r w:rsidRPr="00E579DE">
        <w:rPr>
          <w:u w:val="single"/>
          <w:rtl/>
        </w:rPr>
        <w:tab/>
      </w:r>
      <w:r w:rsidRPr="00E579DE">
        <w:rPr>
          <w:rFonts w:hint="cs"/>
          <w:u w:val="single"/>
          <w:rtl/>
        </w:rPr>
        <w:t>(593)</w:t>
      </w:r>
      <w:r w:rsidRPr="00E579DE">
        <w:rPr>
          <w:u w:val="single"/>
          <w:rtl/>
        </w:rPr>
        <w:tab/>
      </w:r>
      <w:r w:rsidRPr="00E579DE">
        <w:rPr>
          <w:rFonts w:hint="cs"/>
          <w:u w:val="single"/>
          <w:rtl/>
        </w:rPr>
        <w:t>العلامة التصويرية</w:t>
      </w:r>
    </w:p>
    <w:p w:rsidR="00E579DE" w:rsidRDefault="00E579DE" w:rsidP="00E579DE">
      <w:pPr>
        <w:pStyle w:val="BodyTextFirstIndent"/>
        <w:spacing w:before="0"/>
        <w:ind w:left="562"/>
        <w:rPr>
          <w:rtl/>
        </w:rPr>
      </w:pPr>
    </w:p>
    <w:p w:rsidR="00E579DE" w:rsidRDefault="00E579DE" w:rsidP="00E579DE">
      <w:pPr>
        <w:pStyle w:val="BodyTextFirstIndent"/>
        <w:spacing w:before="0"/>
        <w:ind w:left="562"/>
        <w:rPr>
          <w:rtl/>
        </w:rPr>
      </w:pPr>
      <w:r w:rsidRPr="00E579DE">
        <w:rPr>
          <w:i/>
          <w:iCs/>
          <w:rtl/>
        </w:rPr>
        <w:lastRenderedPageBreak/>
        <w:tab/>
      </w:r>
      <w:r w:rsidRPr="00E579DE">
        <w:rPr>
          <w:rFonts w:hint="cs"/>
          <w:i/>
          <w:iCs/>
          <w:rtl/>
        </w:rPr>
        <w:t>(600)</w:t>
      </w:r>
      <w:r w:rsidRPr="00E579DE">
        <w:rPr>
          <w:i/>
          <w:iCs/>
          <w:rtl/>
        </w:rPr>
        <w:tab/>
        <w:t>الإشارات إلى التطبيق</w:t>
      </w:r>
      <w:r w:rsidRPr="00E579DE">
        <w:rPr>
          <w:rFonts w:hint="cs"/>
          <w:i/>
          <w:iCs/>
          <w:rtl/>
        </w:rPr>
        <w:t>ات</w:t>
      </w:r>
      <w:r w:rsidRPr="00E579DE">
        <w:rPr>
          <w:i/>
          <w:iCs/>
          <w:rtl/>
        </w:rPr>
        <w:t xml:space="preserve"> الأخرى ذات الصلة </w:t>
      </w:r>
      <w:r w:rsidRPr="00E579DE">
        <w:rPr>
          <w:rFonts w:hint="cs"/>
          <w:i/>
          <w:iCs/>
          <w:rtl/>
        </w:rPr>
        <w:t>من الناحية القانونية</w:t>
      </w:r>
      <w:r w:rsidRPr="00E579DE">
        <w:rPr>
          <w:i/>
          <w:iCs/>
          <w:rtl/>
        </w:rPr>
        <w:t xml:space="preserve"> والتسجيل</w:t>
      </w:r>
      <w:r w:rsidRPr="00E579DE">
        <w:rPr>
          <w:rFonts w:hint="cs"/>
          <w:i/>
          <w:iCs/>
          <w:rtl/>
        </w:rPr>
        <w:t>ات</w:t>
      </w:r>
    </w:p>
    <w:p w:rsidR="00E579DE" w:rsidRDefault="00E579DE" w:rsidP="00E579DE">
      <w:pPr>
        <w:pStyle w:val="BodyTextFirstIndent"/>
        <w:rPr>
          <w:rtl/>
        </w:rPr>
      </w:pPr>
      <w:r>
        <w:rPr>
          <w:rFonts w:hint="cs"/>
          <w:rtl/>
        </w:rPr>
        <w:t>الصفحة 11:</w:t>
      </w:r>
    </w:p>
    <w:p w:rsidR="00E579DE" w:rsidRDefault="00E579DE" w:rsidP="00E579DE">
      <w:pPr>
        <w:pStyle w:val="BodyTextFirstIndent"/>
        <w:rPr>
          <w:rtl/>
        </w:rPr>
      </w:pPr>
      <w:r>
        <w:rPr>
          <w:rFonts w:hint="cs"/>
          <w:rtl/>
        </w:rPr>
        <w:t>الملحق 2</w:t>
      </w:r>
    </w:p>
    <w:tbl>
      <w:tblPr>
        <w:bidiVisual/>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748"/>
        <w:gridCol w:w="2552"/>
        <w:gridCol w:w="1874"/>
        <w:gridCol w:w="1701"/>
        <w:gridCol w:w="2268"/>
      </w:tblGrid>
      <w:tr w:rsidR="00E579DE" w:rsidRPr="00CD4CAA" w:rsidTr="00CD4CAA">
        <w:trPr>
          <w:trHeight w:val="400"/>
          <w:tblHeader/>
          <w:jc w:val="center"/>
        </w:trPr>
        <w:tc>
          <w:tcPr>
            <w:tcW w:w="748" w:type="dxa"/>
            <w:tcBorders>
              <w:top w:val="single" w:sz="12" w:space="0" w:color="auto"/>
              <w:left w:val="single" w:sz="12" w:space="0" w:color="auto"/>
              <w:bottom w:val="single" w:sz="12" w:space="0" w:color="auto"/>
            </w:tcBorders>
          </w:tcPr>
          <w:p w:rsidR="00E579DE" w:rsidRPr="00CD4CAA" w:rsidRDefault="00CD4CAA" w:rsidP="00CD4CAA">
            <w:pPr>
              <w:pStyle w:val="TrowF"/>
              <w:bidi/>
              <w:spacing w:after="60"/>
              <w:jc w:val="center"/>
              <w:rPr>
                <w:rFonts w:ascii="Arabic Typesetting" w:hAnsi="Arabic Typesetting" w:cs="Arabic Typesetting"/>
                <w:b/>
                <w:sz w:val="28"/>
                <w:szCs w:val="28"/>
                <w:highlight w:val="yellow"/>
              </w:rPr>
            </w:pPr>
            <w:r w:rsidRPr="00CD4CAA">
              <w:rPr>
                <w:rFonts w:ascii="Arabic Typesetting" w:hAnsi="Arabic Typesetting" w:cs="Arabic Typesetting" w:hint="cs"/>
                <w:b/>
                <w:sz w:val="28"/>
                <w:szCs w:val="28"/>
                <w:rtl/>
              </w:rPr>
              <w:t>الرمز</w:t>
            </w:r>
          </w:p>
        </w:tc>
        <w:tc>
          <w:tcPr>
            <w:tcW w:w="2552" w:type="dxa"/>
            <w:tcBorders>
              <w:top w:val="single" w:sz="12" w:space="0" w:color="auto"/>
              <w:bottom w:val="single" w:sz="12" w:space="0" w:color="auto"/>
            </w:tcBorders>
          </w:tcPr>
          <w:p w:rsidR="00E579DE" w:rsidRPr="00CD4CAA" w:rsidRDefault="00CD4CAA" w:rsidP="00CD4CAA">
            <w:pPr>
              <w:pStyle w:val="TrowF"/>
              <w:bidi/>
              <w:spacing w:after="60"/>
              <w:jc w:val="center"/>
              <w:rPr>
                <w:rFonts w:ascii="Arabic Typesetting" w:hAnsi="Arabic Typesetting" w:cs="Arabic Typesetting"/>
                <w:b/>
                <w:sz w:val="28"/>
                <w:szCs w:val="28"/>
              </w:rPr>
            </w:pPr>
            <w:r>
              <w:rPr>
                <w:rFonts w:ascii="Arabic Typesetting" w:hAnsi="Arabic Typesetting" w:cs="Arabic Typesetting" w:hint="cs"/>
                <w:b/>
                <w:sz w:val="28"/>
                <w:szCs w:val="28"/>
                <w:rtl/>
              </w:rPr>
              <w:t>التعريف السابق للرمز</w:t>
            </w:r>
          </w:p>
        </w:tc>
        <w:tc>
          <w:tcPr>
            <w:tcW w:w="1874" w:type="dxa"/>
            <w:tcBorders>
              <w:top w:val="single" w:sz="12" w:space="0" w:color="auto"/>
              <w:bottom w:val="single" w:sz="12" w:space="0" w:color="auto"/>
            </w:tcBorders>
          </w:tcPr>
          <w:p w:rsidR="00E579DE" w:rsidRPr="00CD4CAA" w:rsidRDefault="00CD4CAA" w:rsidP="00CD4CAA">
            <w:pPr>
              <w:pStyle w:val="TrowF"/>
              <w:bidi/>
              <w:spacing w:after="60"/>
              <w:jc w:val="center"/>
              <w:rPr>
                <w:rFonts w:ascii="Arabic Typesetting" w:hAnsi="Arabic Typesetting" w:cs="Arabic Typesetting"/>
                <w:b/>
                <w:sz w:val="28"/>
                <w:szCs w:val="28"/>
              </w:rPr>
            </w:pPr>
            <w:r>
              <w:rPr>
                <w:rFonts w:ascii="Arabic Typesetting" w:hAnsi="Arabic Typesetting" w:cs="Arabic Typesetting" w:hint="cs"/>
                <w:b/>
                <w:sz w:val="28"/>
                <w:szCs w:val="28"/>
                <w:rtl/>
              </w:rPr>
              <w:t>الملاحظة (الملاحظات) الوجيهة السابقة</w:t>
            </w:r>
          </w:p>
        </w:tc>
        <w:tc>
          <w:tcPr>
            <w:tcW w:w="1701" w:type="dxa"/>
            <w:tcBorders>
              <w:top w:val="single" w:sz="12" w:space="0" w:color="auto"/>
              <w:bottom w:val="single" w:sz="12" w:space="0" w:color="auto"/>
            </w:tcBorders>
          </w:tcPr>
          <w:p w:rsidR="00E579DE" w:rsidRPr="00CD4CAA" w:rsidRDefault="00CD4CAA" w:rsidP="00CD4CAA">
            <w:pPr>
              <w:pStyle w:val="TrowF"/>
              <w:bidi/>
              <w:spacing w:after="60"/>
              <w:jc w:val="center"/>
              <w:rPr>
                <w:rFonts w:ascii="Arabic Typesetting" w:hAnsi="Arabic Typesetting" w:cs="Arabic Typesetting"/>
                <w:b/>
                <w:sz w:val="28"/>
                <w:szCs w:val="28"/>
              </w:rPr>
            </w:pPr>
            <w:r>
              <w:rPr>
                <w:rFonts w:ascii="Arabic Typesetting" w:hAnsi="Arabic Typesetting" w:cs="Arabic Typesetting" w:hint="cs"/>
                <w:b/>
                <w:sz w:val="28"/>
                <w:szCs w:val="28"/>
                <w:rtl/>
              </w:rPr>
              <w:t>تاريخ الحذف أو التعديل</w:t>
            </w:r>
          </w:p>
        </w:tc>
        <w:tc>
          <w:tcPr>
            <w:tcW w:w="2268" w:type="dxa"/>
            <w:tcBorders>
              <w:top w:val="single" w:sz="12" w:space="0" w:color="auto"/>
              <w:bottom w:val="single" w:sz="12" w:space="0" w:color="auto"/>
              <w:right w:val="single" w:sz="12" w:space="0" w:color="auto"/>
            </w:tcBorders>
          </w:tcPr>
          <w:p w:rsidR="00E579DE" w:rsidRPr="00CD4CAA" w:rsidRDefault="00CD4CAA" w:rsidP="00CD4CAA">
            <w:pPr>
              <w:pStyle w:val="TrowF"/>
              <w:bidi/>
              <w:spacing w:after="60"/>
              <w:jc w:val="center"/>
              <w:rPr>
                <w:rFonts w:ascii="Arabic Typesetting" w:hAnsi="Arabic Typesetting" w:cs="Arabic Typesetting"/>
                <w:b/>
                <w:sz w:val="28"/>
                <w:szCs w:val="28"/>
              </w:rPr>
            </w:pPr>
            <w:r>
              <w:rPr>
                <w:rFonts w:ascii="Arabic Typesetting" w:hAnsi="Arabic Typesetting" w:cs="Arabic Typesetting" w:hint="cs"/>
                <w:b/>
                <w:sz w:val="28"/>
                <w:szCs w:val="28"/>
                <w:rtl/>
              </w:rPr>
              <w:t>نوع التعديل</w:t>
            </w:r>
          </w:p>
        </w:tc>
      </w:tr>
      <w:tr w:rsidR="00E579DE" w:rsidRPr="00CD4CAA" w:rsidTr="00CD4CAA">
        <w:trPr>
          <w:trHeight w:val="400"/>
          <w:jc w:val="center"/>
        </w:trPr>
        <w:tc>
          <w:tcPr>
            <w:tcW w:w="748" w:type="dxa"/>
            <w:tcBorders>
              <w:top w:val="single" w:sz="6" w:space="0" w:color="auto"/>
              <w:left w:val="single" w:sz="6" w:space="0" w:color="auto"/>
              <w:bottom w:val="single" w:sz="6" w:space="0" w:color="auto"/>
              <w:right w:val="single" w:sz="6" w:space="0" w:color="auto"/>
            </w:tcBorders>
          </w:tcPr>
          <w:p w:rsidR="00E579DE" w:rsidRPr="00CD4CAA" w:rsidRDefault="00E579DE" w:rsidP="00CD4CAA">
            <w:pPr>
              <w:pStyle w:val="TrowF"/>
              <w:bidi/>
              <w:rPr>
                <w:rFonts w:ascii="Arabic Typesetting" w:hAnsi="Arabic Typesetting" w:cs="Arabic Typesetting"/>
                <w:sz w:val="28"/>
                <w:szCs w:val="28"/>
                <w:u w:val="single"/>
              </w:rPr>
            </w:pPr>
            <w:r w:rsidRPr="00CD4CAA">
              <w:rPr>
                <w:rFonts w:ascii="Arabic Typesetting" w:hAnsi="Arabic Typesetting" w:cs="Arabic Typesetting"/>
                <w:sz w:val="28"/>
                <w:szCs w:val="28"/>
                <w:u w:val="single"/>
              </w:rPr>
              <w:t>(592)</w:t>
            </w:r>
          </w:p>
          <w:p w:rsidR="00E579DE" w:rsidRPr="00CD4CAA" w:rsidRDefault="00CD4CAA" w:rsidP="00CD4CAA">
            <w:pPr>
              <w:pStyle w:val="TrowF"/>
              <w:bidi/>
              <w:rPr>
                <w:rFonts w:ascii="Arabic Typesetting" w:hAnsi="Arabic Typesetting" w:cs="Arabic Typesetting"/>
                <w:sz w:val="28"/>
                <w:szCs w:val="28"/>
                <w:u w:val="single"/>
              </w:rPr>
            </w:pPr>
            <w:r>
              <w:rPr>
                <w:rFonts w:ascii="Arabic Typesetting" w:hAnsi="Arabic Typesetting" w:cs="Arabic Typesetting" w:hint="cs"/>
                <w:sz w:val="28"/>
                <w:szCs w:val="28"/>
                <w:u w:val="single"/>
                <w:rtl/>
              </w:rPr>
              <w:t>و</w:t>
            </w:r>
          </w:p>
          <w:p w:rsidR="00E579DE" w:rsidRPr="00CD4CAA" w:rsidRDefault="00E579DE" w:rsidP="00CD4CAA">
            <w:pPr>
              <w:pStyle w:val="TrowF"/>
              <w:bidi/>
              <w:rPr>
                <w:rFonts w:ascii="Arabic Typesetting" w:hAnsi="Arabic Typesetting" w:cs="Arabic Typesetting"/>
                <w:sz w:val="28"/>
                <w:szCs w:val="28"/>
                <w:u w:val="single"/>
              </w:rPr>
            </w:pPr>
            <w:r w:rsidRPr="00CD4CAA">
              <w:rPr>
                <w:rFonts w:ascii="Arabic Typesetting" w:hAnsi="Arabic Typesetting" w:cs="Arabic Typesetting"/>
                <w:sz w:val="28"/>
                <w:szCs w:val="28"/>
                <w:u w:val="single"/>
              </w:rPr>
              <w:t>(593)</w:t>
            </w:r>
          </w:p>
        </w:tc>
        <w:tc>
          <w:tcPr>
            <w:tcW w:w="2552" w:type="dxa"/>
            <w:tcBorders>
              <w:top w:val="single" w:sz="6" w:space="0" w:color="auto"/>
              <w:left w:val="single" w:sz="6" w:space="0" w:color="auto"/>
              <w:bottom w:val="single" w:sz="6" w:space="0" w:color="auto"/>
              <w:right w:val="single" w:sz="6" w:space="0" w:color="auto"/>
            </w:tcBorders>
          </w:tcPr>
          <w:p w:rsidR="00E579DE" w:rsidRPr="00CD4CAA" w:rsidRDefault="00E579DE" w:rsidP="00CD4CAA">
            <w:pPr>
              <w:pStyle w:val="TrowF"/>
              <w:bidi/>
              <w:rPr>
                <w:rFonts w:ascii="Arabic Typesetting" w:hAnsi="Arabic Typesetting" w:cs="Arabic Typesetting"/>
                <w:sz w:val="28"/>
                <w:szCs w:val="28"/>
                <w:u w:val="single"/>
              </w:rPr>
            </w:pPr>
            <w:r w:rsidRPr="00CD4CAA">
              <w:rPr>
                <w:rFonts w:ascii="Arabic Typesetting" w:hAnsi="Arabic Typesetting" w:cs="Arabic Typesetting"/>
                <w:sz w:val="28"/>
                <w:szCs w:val="28"/>
                <w:u w:val="single"/>
              </w:rPr>
              <w:t>–</w:t>
            </w:r>
          </w:p>
        </w:tc>
        <w:tc>
          <w:tcPr>
            <w:tcW w:w="1874" w:type="dxa"/>
            <w:tcBorders>
              <w:top w:val="single" w:sz="6" w:space="0" w:color="auto"/>
              <w:left w:val="single" w:sz="6" w:space="0" w:color="auto"/>
              <w:bottom w:val="single" w:sz="6" w:space="0" w:color="auto"/>
              <w:right w:val="single" w:sz="6" w:space="0" w:color="auto"/>
            </w:tcBorders>
          </w:tcPr>
          <w:p w:rsidR="00E579DE" w:rsidRPr="00CD4CAA" w:rsidRDefault="00E579DE" w:rsidP="00CD4CAA">
            <w:pPr>
              <w:pStyle w:val="TrowF"/>
              <w:bidi/>
              <w:rPr>
                <w:rFonts w:ascii="Arabic Typesetting" w:hAnsi="Arabic Typesetting" w:cs="Arabic Typesetting"/>
                <w:sz w:val="28"/>
                <w:szCs w:val="28"/>
                <w:u w:val="single"/>
              </w:rPr>
            </w:pPr>
            <w:r w:rsidRPr="00CD4CAA">
              <w:rPr>
                <w:rFonts w:ascii="Arabic Typesetting" w:hAnsi="Arabic Typesetting" w:cs="Arabic Typesetting"/>
                <w:sz w:val="28"/>
                <w:szCs w:val="28"/>
                <w:u w:val="single"/>
              </w:rPr>
              <w:t>–</w:t>
            </w:r>
          </w:p>
        </w:tc>
        <w:tc>
          <w:tcPr>
            <w:tcW w:w="1701" w:type="dxa"/>
            <w:tcBorders>
              <w:top w:val="single" w:sz="6" w:space="0" w:color="auto"/>
              <w:left w:val="single" w:sz="6" w:space="0" w:color="auto"/>
              <w:bottom w:val="single" w:sz="6" w:space="0" w:color="auto"/>
              <w:right w:val="single" w:sz="6" w:space="0" w:color="auto"/>
            </w:tcBorders>
          </w:tcPr>
          <w:p w:rsidR="00CD4CAA" w:rsidRDefault="00CD4CAA" w:rsidP="00CD4CAA">
            <w:pPr>
              <w:pStyle w:val="TrowF"/>
              <w:bidi/>
              <w:rPr>
                <w:rFonts w:ascii="Arabic Typesetting" w:hAnsi="Arabic Typesetting" w:cs="Arabic Typesetting"/>
                <w:sz w:val="28"/>
                <w:szCs w:val="28"/>
                <w:u w:val="single"/>
                <w:rtl/>
                <w:lang w:val="fr-CH" w:bidi="ar-SY"/>
              </w:rPr>
            </w:pPr>
            <w:r>
              <w:rPr>
                <w:rFonts w:ascii="Arabic Typesetting" w:hAnsi="Arabic Typesetting" w:cs="Arabic Typesetting" w:hint="cs"/>
                <w:sz w:val="28"/>
                <w:szCs w:val="28"/>
                <w:u w:val="single"/>
                <w:rtl/>
              </w:rPr>
              <w:t xml:space="preserve">يوليو </w:t>
            </w:r>
            <w:r>
              <w:rPr>
                <w:rFonts w:ascii="Arabic Typesetting" w:hAnsi="Arabic Typesetting" w:cs="Arabic Typesetting"/>
                <w:sz w:val="28"/>
                <w:szCs w:val="28"/>
                <w:u w:val="single"/>
              </w:rPr>
              <w:t>xx</w:t>
            </w:r>
            <w:r>
              <w:rPr>
                <w:rFonts w:ascii="Arabic Typesetting" w:hAnsi="Arabic Typesetting" w:cs="Arabic Typesetting" w:hint="cs"/>
                <w:sz w:val="28"/>
                <w:szCs w:val="28"/>
                <w:u w:val="single"/>
                <w:rtl/>
                <w:lang w:val="fr-CH" w:bidi="ar-SY"/>
              </w:rPr>
              <w:t xml:space="preserve"> 2019،</w:t>
            </w:r>
          </w:p>
          <w:p w:rsidR="00CD4CAA" w:rsidRPr="00CD4CAA" w:rsidRDefault="00CD4CAA" w:rsidP="00CD4CAA">
            <w:pPr>
              <w:pStyle w:val="TrowF"/>
              <w:bidi/>
              <w:rPr>
                <w:rFonts w:ascii="Arabic Typesetting" w:hAnsi="Arabic Typesetting" w:cs="Arabic Typesetting"/>
                <w:sz w:val="28"/>
                <w:szCs w:val="28"/>
                <w:u w:val="single"/>
                <w:rtl/>
                <w:lang w:val="fr-CH" w:bidi="ar-SY"/>
              </w:rPr>
            </w:pPr>
            <w:r>
              <w:rPr>
                <w:rFonts w:ascii="Arabic Typesetting" w:hAnsi="Arabic Typesetting" w:cs="Arabic Typesetting" w:hint="cs"/>
                <w:sz w:val="28"/>
                <w:szCs w:val="28"/>
                <w:u w:val="single"/>
                <w:rtl/>
                <w:lang w:val="fr-CH" w:bidi="ar-SY"/>
              </w:rPr>
              <w:t>الدورة السابعة للجنة المعايير</w:t>
            </w:r>
          </w:p>
        </w:tc>
        <w:tc>
          <w:tcPr>
            <w:tcW w:w="2268" w:type="dxa"/>
            <w:tcBorders>
              <w:top w:val="single" w:sz="6" w:space="0" w:color="auto"/>
              <w:left w:val="single" w:sz="6" w:space="0" w:color="auto"/>
              <w:bottom w:val="single" w:sz="6" w:space="0" w:color="auto"/>
              <w:right w:val="single" w:sz="6" w:space="0" w:color="auto"/>
            </w:tcBorders>
          </w:tcPr>
          <w:p w:rsidR="00E579DE" w:rsidRPr="00CD4CAA" w:rsidRDefault="00CD4CAA" w:rsidP="00CD4CAA">
            <w:pPr>
              <w:pStyle w:val="TrowF"/>
              <w:bidi/>
              <w:rPr>
                <w:rFonts w:ascii="Arabic Typesetting" w:hAnsi="Arabic Typesetting" w:cs="Arabic Typesetting"/>
                <w:sz w:val="28"/>
                <w:szCs w:val="28"/>
                <w:u w:val="single"/>
              </w:rPr>
            </w:pPr>
            <w:r>
              <w:rPr>
                <w:rFonts w:ascii="Arabic Typesetting" w:hAnsi="Arabic Typesetting" w:cs="Arabic Typesetting" w:hint="cs"/>
                <w:sz w:val="28"/>
                <w:szCs w:val="28"/>
                <w:u w:val="single"/>
                <w:rtl/>
              </w:rPr>
              <w:t>إضافة رمزين</w:t>
            </w:r>
          </w:p>
        </w:tc>
      </w:tr>
    </w:tbl>
    <w:p w:rsidR="00E579DE" w:rsidRDefault="00CD4CAA" w:rsidP="007A67F2">
      <w:pPr>
        <w:pStyle w:val="ONUMA"/>
      </w:pPr>
      <w:r>
        <w:rPr>
          <w:rFonts w:hint="cs"/>
          <w:rtl/>
        </w:rPr>
        <w:t>وفيما يتعلق با</w:t>
      </w:r>
      <w:r>
        <w:rPr>
          <w:rtl/>
        </w:rPr>
        <w:t xml:space="preserve">لبندين الآخرين </w:t>
      </w:r>
      <w:r w:rsidR="007A67F2">
        <w:rPr>
          <w:rFonts w:hint="cs"/>
          <w:rtl/>
        </w:rPr>
        <w:t>ضمن</w:t>
      </w:r>
      <w:r>
        <w:rPr>
          <w:rtl/>
        </w:rPr>
        <w:t xml:space="preserve"> المهمة رقم 60</w:t>
      </w:r>
      <w:r w:rsidRPr="00CD4CAA">
        <w:rPr>
          <w:rtl/>
        </w:rPr>
        <w:t xml:space="preserve">، </w:t>
      </w:r>
      <w:r w:rsidR="007A67F2">
        <w:rPr>
          <w:rFonts w:hint="cs"/>
          <w:rtl/>
        </w:rPr>
        <w:t xml:space="preserve">أي </w:t>
      </w:r>
      <w:r w:rsidRPr="00CD4CAA">
        <w:rPr>
          <w:rtl/>
        </w:rPr>
        <w:t xml:space="preserve">تقسيم </w:t>
      </w:r>
      <w:r>
        <w:rPr>
          <w:rFonts w:hint="cs"/>
          <w:rtl/>
        </w:rPr>
        <w:t>ال</w:t>
      </w:r>
      <w:r w:rsidRPr="00CD4CAA">
        <w:rPr>
          <w:rtl/>
        </w:rPr>
        <w:t xml:space="preserve">رمز (551) </w:t>
      </w:r>
      <w:r>
        <w:rPr>
          <w:rFonts w:hint="cs"/>
          <w:rtl/>
        </w:rPr>
        <w:t xml:space="preserve">ورموز الأرقام </w:t>
      </w:r>
      <w:r w:rsidRPr="00CD4CAA">
        <w:rPr>
          <w:rtl/>
        </w:rPr>
        <w:t>المحتمل</w:t>
      </w:r>
      <w:r>
        <w:rPr>
          <w:rFonts w:hint="cs"/>
          <w:rtl/>
        </w:rPr>
        <w:t>ة</w:t>
      </w:r>
      <w:r w:rsidRPr="00CD4CAA">
        <w:rPr>
          <w:rtl/>
        </w:rPr>
        <w:t xml:space="preserve"> للعلامات </w:t>
      </w:r>
      <w:r>
        <w:rPr>
          <w:rFonts w:hint="cs"/>
          <w:rtl/>
        </w:rPr>
        <w:t>المجمّعة</w:t>
      </w:r>
      <w:r w:rsidRPr="00CD4CAA">
        <w:rPr>
          <w:rtl/>
        </w:rPr>
        <w:t xml:space="preserve">، لا تقترح فرقة العمل أي تغييرات (انظر الوثيقة </w:t>
      </w:r>
      <w:r w:rsidRPr="00CD4CAA">
        <w:t>CWS / 7/18</w:t>
      </w:r>
      <w:r w:rsidRPr="00CD4CAA">
        <w:rPr>
          <w:rtl/>
        </w:rPr>
        <w:t>).</w:t>
      </w:r>
    </w:p>
    <w:p w:rsidR="00CD4CAA" w:rsidRDefault="00CD4CAA" w:rsidP="00CD4CAA">
      <w:pPr>
        <w:pStyle w:val="Decision"/>
      </w:pPr>
      <w:r>
        <w:rPr>
          <w:rFonts w:hint="cs"/>
          <w:rtl/>
        </w:rPr>
        <w:t>إن لجنة المعايير مدعوة إلى ما يلي:</w:t>
      </w:r>
    </w:p>
    <w:p w:rsidR="00CD4CAA" w:rsidRDefault="00CD4CAA" w:rsidP="00D506C3">
      <w:pPr>
        <w:pStyle w:val="Decision"/>
        <w:numPr>
          <w:ilvl w:val="0"/>
          <w:numId w:val="46"/>
        </w:numPr>
        <w:ind w:left="5575" w:firstLine="630"/>
        <w:rPr>
          <w:rtl/>
          <w:lang w:val="fr-CH" w:bidi="ar-SY"/>
        </w:rPr>
      </w:pPr>
      <w:r>
        <w:rPr>
          <w:rFonts w:hint="cs"/>
          <w:rtl/>
        </w:rPr>
        <w:t>الإحاطة علماً بمضمون هذه الوثيقة</w:t>
      </w:r>
      <w:r>
        <w:rPr>
          <w:rFonts w:hint="cs"/>
          <w:rtl/>
          <w:lang w:val="fr-CH" w:bidi="ar-SY"/>
        </w:rPr>
        <w:t>؛</w:t>
      </w:r>
    </w:p>
    <w:p w:rsidR="00CD4CAA" w:rsidRPr="000A62BF" w:rsidRDefault="00CD4CAA" w:rsidP="00D506C3">
      <w:pPr>
        <w:pStyle w:val="Decision"/>
        <w:numPr>
          <w:ilvl w:val="0"/>
          <w:numId w:val="46"/>
        </w:numPr>
        <w:ind w:left="5575" w:firstLine="630"/>
        <w:rPr>
          <w:rtl/>
          <w:lang w:val="fr-CH" w:bidi="ar-SY"/>
        </w:rPr>
      </w:pPr>
      <w:r>
        <w:rPr>
          <w:rFonts w:hint="cs"/>
          <w:rtl/>
          <w:lang w:val="fr-CH" w:bidi="ar-SY"/>
        </w:rPr>
        <w:t>واعتماد مقترح وضع رموز أرقام جديدة للعلامات اللفظية والعلامات التصويرية، على النحو المبين في الفقرة 6 أعلاه.</w:t>
      </w:r>
    </w:p>
    <w:p w:rsidR="00CD4CAA" w:rsidRPr="00CD4CAA" w:rsidRDefault="00CD4CAA" w:rsidP="00CD4CAA">
      <w:pPr>
        <w:pStyle w:val="Endofdocument-Annex"/>
        <w:rPr>
          <w:rtl/>
        </w:rPr>
      </w:pPr>
      <w:r w:rsidRPr="00CD4CAA">
        <w:rPr>
          <w:rtl/>
        </w:rPr>
        <w:t>[</w:t>
      </w:r>
      <w:r w:rsidRPr="00CD4CAA">
        <w:rPr>
          <w:rFonts w:hint="cs"/>
          <w:rtl/>
        </w:rPr>
        <w:t>نهاية الوثيقة</w:t>
      </w:r>
      <w:r w:rsidRPr="00CD4CAA">
        <w:rPr>
          <w:rtl/>
        </w:rPr>
        <w:t>]</w:t>
      </w:r>
    </w:p>
    <w:sectPr w:rsidR="00CD4CAA" w:rsidRPr="00CD4CAA" w:rsidSect="00EB7752">
      <w:headerReference w:type="default" r:id="rId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16DF" w:rsidRDefault="001716DF">
      <w:r>
        <w:separator/>
      </w:r>
    </w:p>
  </w:endnote>
  <w:endnote w:type="continuationSeparator" w:id="0">
    <w:p w:rsidR="001716DF" w:rsidRDefault="00171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16DF" w:rsidRDefault="001716DF" w:rsidP="009622BF">
      <w:bookmarkStart w:id="0" w:name="OLE_LINK1"/>
      <w:bookmarkStart w:id="1" w:name="OLE_LINK2"/>
      <w:r>
        <w:separator/>
      </w:r>
      <w:bookmarkEnd w:id="0"/>
      <w:bookmarkEnd w:id="1"/>
    </w:p>
  </w:footnote>
  <w:footnote w:type="continuationSeparator" w:id="0">
    <w:p w:rsidR="001716DF" w:rsidRDefault="001716DF"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7A3" w:rsidRDefault="00EE17A3" w:rsidP="0023693F">
    <w:pPr>
      <w:bidi w:val="0"/>
      <w:rPr>
        <w:rFonts w:ascii="Arial" w:hAnsi="Arial" w:cs="Arial"/>
        <w:sz w:val="22"/>
        <w:szCs w:val="22"/>
        <w:rtl/>
      </w:rPr>
    </w:pPr>
    <w:bookmarkStart w:id="14" w:name="Code3"/>
    <w:bookmarkEnd w:id="14"/>
    <w:r>
      <w:rPr>
        <w:rFonts w:ascii="Arial" w:hAnsi="Arial" w:cs="Arial"/>
        <w:sz w:val="22"/>
        <w:szCs w:val="22"/>
      </w:rPr>
      <w:t>CWS/7/19</w:t>
    </w:r>
  </w:p>
  <w:p w:rsidR="004C495B" w:rsidRPr="00C50A61" w:rsidRDefault="004C495B" w:rsidP="00EE17A3">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4A20FA">
      <w:rPr>
        <w:rFonts w:ascii="Arial" w:hAnsi="Arial" w:cs="Arial"/>
        <w:noProof/>
        <w:sz w:val="22"/>
        <w:szCs w:val="22"/>
        <w:lang w:bidi="ar-EG"/>
      </w:rPr>
      <w:t>3</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B531C3A"/>
    <w:multiLevelType w:val="hybridMultilevel"/>
    <w:tmpl w:val="44166558"/>
    <w:lvl w:ilvl="0" w:tplc="1D56E1F0">
      <w:numFmt w:val="bullet"/>
      <w:lvlText w:val="-"/>
      <w:lvlJc w:val="left"/>
      <w:pPr>
        <w:ind w:left="927" w:hanging="360"/>
      </w:pPr>
      <w:rPr>
        <w:rFonts w:ascii="Arabic Typesetting" w:eastAsia="Times New Roman" w:hAnsi="Arabic Typesetting" w:cs="Arabic Typesetting"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7"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8"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30"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1"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2"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5"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6"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7"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8" w15:restartNumberingAfterBreak="0">
    <w:nsid w:val="7A707D6E"/>
    <w:multiLevelType w:val="hybridMultilevel"/>
    <w:tmpl w:val="F4D06EE8"/>
    <w:lvl w:ilvl="0" w:tplc="251AC28C">
      <w:start w:val="1"/>
      <w:numFmt w:val="arabicAlpha"/>
      <w:lvlText w:val="(%1)"/>
      <w:lvlJc w:val="left"/>
      <w:pPr>
        <w:ind w:left="6807" w:hanging="570"/>
      </w:pPr>
      <w:rPr>
        <w:rFonts w:hint="default"/>
      </w:rPr>
    </w:lvl>
    <w:lvl w:ilvl="1" w:tplc="04090019" w:tentative="1">
      <w:start w:val="1"/>
      <w:numFmt w:val="lowerLetter"/>
      <w:lvlText w:val="%2."/>
      <w:lvlJc w:val="left"/>
      <w:pPr>
        <w:ind w:left="7317" w:hanging="360"/>
      </w:pPr>
    </w:lvl>
    <w:lvl w:ilvl="2" w:tplc="0409001B" w:tentative="1">
      <w:start w:val="1"/>
      <w:numFmt w:val="lowerRoman"/>
      <w:lvlText w:val="%3."/>
      <w:lvlJc w:val="right"/>
      <w:pPr>
        <w:ind w:left="8037" w:hanging="180"/>
      </w:pPr>
    </w:lvl>
    <w:lvl w:ilvl="3" w:tplc="0409000F" w:tentative="1">
      <w:start w:val="1"/>
      <w:numFmt w:val="decimal"/>
      <w:lvlText w:val="%4."/>
      <w:lvlJc w:val="left"/>
      <w:pPr>
        <w:ind w:left="8757" w:hanging="360"/>
      </w:pPr>
    </w:lvl>
    <w:lvl w:ilvl="4" w:tplc="04090019" w:tentative="1">
      <w:start w:val="1"/>
      <w:numFmt w:val="lowerLetter"/>
      <w:lvlText w:val="%5."/>
      <w:lvlJc w:val="left"/>
      <w:pPr>
        <w:ind w:left="9477" w:hanging="360"/>
      </w:pPr>
    </w:lvl>
    <w:lvl w:ilvl="5" w:tplc="0409001B" w:tentative="1">
      <w:start w:val="1"/>
      <w:numFmt w:val="lowerRoman"/>
      <w:lvlText w:val="%6."/>
      <w:lvlJc w:val="right"/>
      <w:pPr>
        <w:ind w:left="10197" w:hanging="180"/>
      </w:pPr>
    </w:lvl>
    <w:lvl w:ilvl="6" w:tplc="0409000F" w:tentative="1">
      <w:start w:val="1"/>
      <w:numFmt w:val="decimal"/>
      <w:lvlText w:val="%7."/>
      <w:lvlJc w:val="left"/>
      <w:pPr>
        <w:ind w:left="10917" w:hanging="360"/>
      </w:pPr>
    </w:lvl>
    <w:lvl w:ilvl="7" w:tplc="04090019" w:tentative="1">
      <w:start w:val="1"/>
      <w:numFmt w:val="lowerLetter"/>
      <w:lvlText w:val="%8."/>
      <w:lvlJc w:val="left"/>
      <w:pPr>
        <w:ind w:left="11637" w:hanging="360"/>
      </w:pPr>
    </w:lvl>
    <w:lvl w:ilvl="8" w:tplc="0409001B" w:tentative="1">
      <w:start w:val="1"/>
      <w:numFmt w:val="lowerRoman"/>
      <w:lvlText w:val="%9."/>
      <w:lvlJc w:val="right"/>
      <w:pPr>
        <w:ind w:left="12357" w:hanging="180"/>
      </w:pPr>
    </w:lvl>
  </w:abstractNum>
  <w:abstractNum w:abstractNumId="39"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40"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5"/>
  </w:num>
  <w:num w:numId="3">
    <w:abstractNumId w:val="14"/>
  </w:num>
  <w:num w:numId="4">
    <w:abstractNumId w:val="37"/>
  </w:num>
  <w:num w:numId="5">
    <w:abstractNumId w:val="8"/>
  </w:num>
  <w:num w:numId="6">
    <w:abstractNumId w:val="39"/>
  </w:num>
  <w:num w:numId="7">
    <w:abstractNumId w:val="20"/>
  </w:num>
  <w:num w:numId="8">
    <w:abstractNumId w:val="36"/>
  </w:num>
  <w:num w:numId="9">
    <w:abstractNumId w:val="32"/>
  </w:num>
  <w:num w:numId="10">
    <w:abstractNumId w:val="40"/>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4"/>
  </w:num>
  <w:num w:numId="22">
    <w:abstractNumId w:val="24"/>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30"/>
  </w:num>
  <w:num w:numId="31">
    <w:abstractNumId w:val="21"/>
  </w:num>
  <w:num w:numId="32">
    <w:abstractNumId w:val="27"/>
  </w:num>
  <w:num w:numId="33">
    <w:abstractNumId w:val="35"/>
  </w:num>
  <w:num w:numId="34">
    <w:abstractNumId w:val="13"/>
  </w:num>
  <w:num w:numId="35">
    <w:abstractNumId w:val="34"/>
  </w:num>
  <w:num w:numId="36">
    <w:abstractNumId w:val="26"/>
  </w:num>
  <w:num w:numId="37">
    <w:abstractNumId w:val="33"/>
  </w:num>
  <w:num w:numId="38">
    <w:abstractNumId w:val="16"/>
  </w:num>
  <w:num w:numId="39">
    <w:abstractNumId w:val="29"/>
  </w:num>
  <w:num w:numId="40">
    <w:abstractNumId w:val="28"/>
  </w:num>
  <w:num w:numId="41">
    <w:abstractNumId w:val="18"/>
  </w:num>
  <w:num w:numId="42">
    <w:abstractNumId w:val="10"/>
  </w:num>
  <w:num w:numId="43">
    <w:abstractNumId w:val="22"/>
  </w:num>
  <w:num w:numId="44">
    <w:abstractNumId w:val="31"/>
  </w:num>
  <w:num w:numId="45">
    <w:abstractNumId w:val="23"/>
  </w:num>
  <w:num w:numId="46">
    <w:abstractNumId w:val="38"/>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B38"/>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03A"/>
    <w:rsid w:val="000C733A"/>
    <w:rsid w:val="000C76B0"/>
    <w:rsid w:val="000D0C07"/>
    <w:rsid w:val="000D0C7C"/>
    <w:rsid w:val="000D1A1D"/>
    <w:rsid w:val="000D5FB7"/>
    <w:rsid w:val="000D7E81"/>
    <w:rsid w:val="000E06A5"/>
    <w:rsid w:val="000E16EB"/>
    <w:rsid w:val="000E26C9"/>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3B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6DF"/>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039"/>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594F"/>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20FA"/>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1BC4"/>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3FEA"/>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7F2"/>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223F"/>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81C"/>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77163"/>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4CAA"/>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06C3"/>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579DE"/>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A1D"/>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17A3"/>
    <w:rsid w:val="00EE270D"/>
    <w:rsid w:val="00EE4B38"/>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836E41A7-CC27-4615-8B67-C06064630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80223F"/>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 w:type="paragraph" w:customStyle="1" w:styleId="TrowF">
    <w:name w:val="TrowF"/>
    <w:basedOn w:val="Normal"/>
    <w:rsid w:val="00E579DE"/>
    <w:pPr>
      <w:bidi w:val="0"/>
      <w:spacing w:before="60"/>
    </w:pPr>
    <w:rPr>
      <w:rFonts w:ascii="Arial" w:hAnsi="Arial" w:cs="Times New Roman"/>
      <w:sz w:val="17"/>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0FED2-C4C0-4DDD-9FDC-FDC050D1E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559</Words>
  <Characters>2887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CWS/7/19 (in Arabic)</vt:lpstr>
    </vt:vector>
  </TitlesOfParts>
  <Company>World Intellectual Property Organization</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CWS/7/19 (in Arabic)</dc:title>
  <dc:subject>تنقيح معيار الويبو ST.60</dc:subject>
  <dc:creator>WIPO</dc:creator>
  <cp:keywords>CWS, WIPO</cp:keywords>
  <cp:lastModifiedBy>DRAKE Sophie</cp:lastModifiedBy>
  <cp:revision>12</cp:revision>
  <cp:lastPrinted>2019-05-24T11:19:00Z</cp:lastPrinted>
  <dcterms:created xsi:type="dcterms:W3CDTF">2019-05-24T10:22:00Z</dcterms:created>
  <dcterms:modified xsi:type="dcterms:W3CDTF">2019-06-11T12:10:00Z</dcterms:modified>
</cp:coreProperties>
</file>