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val="de-DE" w:eastAsia="de-DE"/>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0065B" w:rsidP="00916EE2">
            <w:pPr>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1" w:name="Code"/>
            <w:bookmarkEnd w:id="1"/>
            <w:r w:rsidR="007F3889">
              <w:rPr>
                <w:rFonts w:ascii="Arial Black" w:hAnsi="Arial Black"/>
                <w:caps/>
                <w:sz w:val="15"/>
              </w:rPr>
              <w:t>25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7F388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7F3889">
              <w:rPr>
                <w:rFonts w:ascii="Arial Black" w:hAnsi="Arial Black"/>
                <w:caps/>
                <w:sz w:val="15"/>
              </w:rPr>
              <w:t xml:space="preserve">MAY </w:t>
            </w:r>
            <w:r w:rsidR="00B4251B" w:rsidRPr="00B4251B">
              <w:rPr>
                <w:rFonts w:ascii="Arial Black" w:hAnsi="Arial Black"/>
                <w:caps/>
                <w:sz w:val="15"/>
              </w:rPr>
              <w:t>21</w:t>
            </w:r>
            <w:r w:rsidR="007F3889">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D59F2" w:rsidP="008B2CC1">
      <w:pPr>
        <w:rPr>
          <w:b/>
          <w:sz w:val="28"/>
          <w:szCs w:val="28"/>
        </w:rPr>
      </w:pPr>
      <w:r>
        <w:rPr>
          <w:b/>
          <w:sz w:val="28"/>
          <w:szCs w:val="28"/>
        </w:rPr>
        <w:t>Committee on WIPO Standards (CWS)</w:t>
      </w:r>
    </w:p>
    <w:p w:rsidR="003845C1" w:rsidRDefault="003845C1" w:rsidP="003845C1"/>
    <w:p w:rsidR="003845C1" w:rsidRDefault="003845C1" w:rsidP="003845C1"/>
    <w:p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7F3889" w:rsidP="008B2CC1">
      <w:pPr>
        <w:rPr>
          <w:caps/>
          <w:sz w:val="24"/>
        </w:rPr>
      </w:pPr>
      <w:bookmarkStart w:id="4" w:name="TitleOfDoc"/>
      <w:bookmarkEnd w:id="4"/>
      <w:r>
        <w:rPr>
          <w:caps/>
          <w:sz w:val="24"/>
        </w:rPr>
        <w:t>PAPI TASK FORCE PROPOSAL FOR A QUESTIONNAIRE ON PROVIDING ACCESS TO PUBLICLY AVAILABLE PATENT INFORMATION</w:t>
      </w:r>
    </w:p>
    <w:p w:rsidR="008B2CC1" w:rsidRPr="008B2CC1" w:rsidRDefault="008B2CC1" w:rsidP="008B2CC1"/>
    <w:p w:rsidR="008B2CC1" w:rsidRPr="008B2CC1" w:rsidRDefault="00BF0D3C" w:rsidP="008B2CC1">
      <w:pPr>
        <w:rPr>
          <w:i/>
        </w:rPr>
      </w:pPr>
      <w:bookmarkStart w:id="5" w:name="Prepared"/>
      <w:bookmarkEnd w:id="5"/>
      <w:r>
        <w:rPr>
          <w:i/>
        </w:rPr>
        <w:t>D</w:t>
      </w:r>
      <w:r w:rsidR="007F3889">
        <w:rPr>
          <w:i/>
        </w:rPr>
        <w:t>ocument prepared by the International Bureau</w:t>
      </w:r>
    </w:p>
    <w:p w:rsidR="00AC205C" w:rsidRDefault="00AC205C"/>
    <w:p w:rsidR="000F5E56" w:rsidRDefault="000F5E56"/>
    <w:p w:rsidR="002928D3" w:rsidRPr="00B4251B" w:rsidRDefault="002928D3" w:rsidP="0053057A">
      <w:pPr>
        <w:rPr>
          <w:u w:val="single"/>
        </w:rPr>
      </w:pPr>
    </w:p>
    <w:p w:rsidR="00B4251B" w:rsidRDefault="00B4251B" w:rsidP="0053057A"/>
    <w:p w:rsidR="002928D3" w:rsidRDefault="002928D3"/>
    <w:p w:rsidR="009150E3" w:rsidRPr="00510549" w:rsidRDefault="009150E3" w:rsidP="00B4251B">
      <w:pPr>
        <w:pStyle w:val="Heading2"/>
        <w:spacing w:before="0"/>
        <w:rPr>
          <w:rFonts w:eastAsia="Malgun Gothic"/>
          <w:szCs w:val="22"/>
        </w:rPr>
      </w:pPr>
      <w:r w:rsidRPr="00510549">
        <w:rPr>
          <w:rFonts w:eastAsia="Malgun Gothic"/>
          <w:caps w:val="0"/>
          <w:szCs w:val="22"/>
        </w:rPr>
        <w:t>BACKGROUND</w:t>
      </w:r>
    </w:p>
    <w:p w:rsidR="009150E3" w:rsidRDefault="009150E3" w:rsidP="009150E3">
      <w:pPr>
        <w:pStyle w:val="ONUME"/>
        <w:numPr>
          <w:ilvl w:val="0"/>
          <w:numId w:val="0"/>
        </w:numPr>
      </w:pPr>
      <w:r>
        <w:fldChar w:fldCharType="begin"/>
      </w:r>
      <w:r>
        <w:instrText xml:space="preserve"> AUTONUM  </w:instrText>
      </w:r>
      <w:r>
        <w:fldChar w:fldCharType="end"/>
      </w:r>
      <w:r>
        <w:tab/>
        <w:t>The Committee on WIPO Standards (CWS), at its reconvened fourth session held in March 2016, noted the request and information provided by the Patent Documentation Group (PDG) concerning the requirements for national and regional patent registers</w:t>
      </w:r>
      <w:r w:rsidR="00A449FF">
        <w:t>.  T</w:t>
      </w:r>
      <w:r>
        <w:t xml:space="preserve">he CWS agreed, in particular, to collect industrial property offices (IPOs) practices on content, functionalities and future plans with respect to their patent registers (see Annex III to document CWS/4BIS/6). </w:t>
      </w:r>
    </w:p>
    <w:p w:rsidR="00DB095F" w:rsidRDefault="009150E3" w:rsidP="009150E3">
      <w:pPr>
        <w:pStyle w:val="ONUME"/>
        <w:numPr>
          <w:ilvl w:val="0"/>
          <w:numId w:val="0"/>
        </w:numPr>
        <w:rPr>
          <w:rFonts w:eastAsia="Malgun Gothic"/>
        </w:rPr>
      </w:pPr>
      <w:r>
        <w:fldChar w:fldCharType="begin"/>
      </w:r>
      <w:r>
        <w:instrText xml:space="preserve"> AUTONUM  </w:instrText>
      </w:r>
      <w:r>
        <w:fldChar w:fldCharType="end"/>
      </w:r>
      <w:r>
        <w:tab/>
      </w:r>
      <w:r w:rsidRPr="00510549">
        <w:t>The CWS</w:t>
      </w:r>
      <w:r>
        <w:t>,</w:t>
      </w:r>
      <w:r w:rsidRPr="00510549">
        <w:t xml:space="preserve"> at its fifth session</w:t>
      </w:r>
      <w:r>
        <w:t xml:space="preserve"> in</w:t>
      </w:r>
      <w:r w:rsidRPr="00510549">
        <w:t xml:space="preserve"> 2017, created </w:t>
      </w:r>
      <w:r>
        <w:t xml:space="preserve">a new </w:t>
      </w:r>
      <w:r w:rsidRPr="00510549">
        <w:rPr>
          <w:rFonts w:eastAsia="Malgun Gothic"/>
        </w:rPr>
        <w:t>Task No. 5</w:t>
      </w:r>
      <w:r>
        <w:rPr>
          <w:rFonts w:eastAsia="Malgun Gothic"/>
        </w:rPr>
        <w:t xml:space="preserve">2: </w:t>
      </w:r>
    </w:p>
    <w:p w:rsidR="009150E3" w:rsidRDefault="009150E3" w:rsidP="00DB095F">
      <w:pPr>
        <w:pStyle w:val="ONUME"/>
        <w:numPr>
          <w:ilvl w:val="0"/>
          <w:numId w:val="0"/>
        </w:numPr>
        <w:ind w:left="567"/>
        <w:rPr>
          <w:rFonts w:eastAsia="Malgun Gothic"/>
        </w:rPr>
      </w:pPr>
      <w:r>
        <w:rPr>
          <w:rFonts w:eastAsia="Malgun Gothic"/>
        </w:rPr>
        <w:t>“</w:t>
      </w:r>
      <w:r w:rsidRPr="003767DE">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r>
        <w:t xml:space="preserve">” </w:t>
      </w:r>
      <w:r w:rsidRPr="00510549">
        <w:rPr>
          <w:rFonts w:eastAsia="Malgun Gothic"/>
        </w:rPr>
        <w:t>(</w:t>
      </w:r>
      <w:r>
        <w:rPr>
          <w:rFonts w:eastAsia="Malgun Gothic"/>
        </w:rPr>
        <w:t>s</w:t>
      </w:r>
      <w:r w:rsidRPr="00510549">
        <w:rPr>
          <w:rFonts w:eastAsia="Malgun Gothic"/>
        </w:rPr>
        <w:t xml:space="preserve">ee </w:t>
      </w:r>
      <w:r>
        <w:rPr>
          <w:rFonts w:eastAsia="Malgun Gothic"/>
        </w:rPr>
        <w:t xml:space="preserve"> paragraphs 94 to 96 of </w:t>
      </w:r>
      <w:r w:rsidRPr="00510549">
        <w:rPr>
          <w:rFonts w:eastAsia="Malgun Gothic"/>
        </w:rPr>
        <w:t xml:space="preserve">document </w:t>
      </w:r>
      <w:r w:rsidRPr="00510549">
        <w:t>CWS/5/22</w:t>
      </w:r>
      <w:r w:rsidRPr="00510549">
        <w:rPr>
          <w:rFonts w:eastAsia="Malgun Gothic"/>
        </w:rPr>
        <w:t>)</w:t>
      </w:r>
      <w:r>
        <w:rPr>
          <w:rFonts w:eastAsia="Malgun Gothic"/>
        </w:rPr>
        <w:t>.</w:t>
      </w:r>
    </w:p>
    <w:p w:rsidR="009150E3" w:rsidRDefault="009150E3" w:rsidP="009150E3">
      <w:pPr>
        <w:pStyle w:val="ONUME"/>
        <w:numPr>
          <w:ilvl w:val="0"/>
          <w:numId w:val="0"/>
        </w:numPr>
      </w:pPr>
      <w:r>
        <w:fldChar w:fldCharType="begin"/>
      </w:r>
      <w:r>
        <w:instrText xml:space="preserve"> AUTONUM  </w:instrText>
      </w:r>
      <w:r>
        <w:fldChar w:fldCharType="end"/>
      </w:r>
      <w:r>
        <w:tab/>
      </w:r>
      <w:r w:rsidRPr="00510549">
        <w:t xml:space="preserve">The CWS also established the </w:t>
      </w:r>
      <w:r>
        <w:t xml:space="preserve">Public Access to Patent Information </w:t>
      </w:r>
      <w:r w:rsidRPr="00510549">
        <w:t>(</w:t>
      </w:r>
      <w:r>
        <w:t>PAPI</w:t>
      </w:r>
      <w:r w:rsidRPr="00510549">
        <w:t>) Task Force to carry out Task</w:t>
      </w:r>
      <w:r>
        <w:t xml:space="preserve"> No.</w:t>
      </w:r>
      <w:r w:rsidR="00DB095F">
        <w:t xml:space="preserve"> </w:t>
      </w:r>
      <w:r>
        <w:t>52</w:t>
      </w:r>
      <w:r w:rsidRPr="00510549">
        <w:t xml:space="preserve">, and designated </w:t>
      </w:r>
      <w:r w:rsidRPr="00510549">
        <w:rPr>
          <w:rFonts w:eastAsia="Malgun Gothic"/>
        </w:rPr>
        <w:t>the</w:t>
      </w:r>
      <w:r>
        <w:rPr>
          <w:rFonts w:eastAsia="Malgun Gothic"/>
        </w:rPr>
        <w:t xml:space="preserve"> I</w:t>
      </w:r>
      <w:r w:rsidRPr="003767DE">
        <w:t>nternational Bureau</w:t>
      </w:r>
      <w:r w:rsidRPr="00510549">
        <w:rPr>
          <w:rFonts w:eastAsia="Malgun Gothic"/>
        </w:rPr>
        <w:t xml:space="preserve"> </w:t>
      </w:r>
      <w:r>
        <w:rPr>
          <w:rFonts w:eastAsia="Malgun Gothic"/>
        </w:rPr>
        <w:t xml:space="preserve">of WIPO as </w:t>
      </w:r>
      <w:r w:rsidRPr="00510549">
        <w:t>the Task Force</w:t>
      </w:r>
      <w:r>
        <w:t xml:space="preserve"> leader.  The CWS </w:t>
      </w:r>
      <w:r w:rsidRPr="003767DE">
        <w:t>requested the established Task Force to take into account the knowledge gathered during the maintenance of the Patent Register Portal and the results of the work of the Legal Status Task Force</w:t>
      </w:r>
      <w:r>
        <w:t xml:space="preserve">.  </w:t>
      </w:r>
      <w:r w:rsidRPr="00510549">
        <w:t xml:space="preserve">(See paragraphs </w:t>
      </w:r>
      <w:r>
        <w:t xml:space="preserve">97 </w:t>
      </w:r>
      <w:r w:rsidRPr="00510549">
        <w:t xml:space="preserve">to </w:t>
      </w:r>
      <w:r>
        <w:t>100</w:t>
      </w:r>
      <w:r w:rsidRPr="00510549">
        <w:t xml:space="preserve"> of document CWS/5/22</w:t>
      </w:r>
      <w:r>
        <w:t>.</w:t>
      </w:r>
      <w:r w:rsidRPr="00510549">
        <w:t>)</w:t>
      </w:r>
    </w:p>
    <w:p w:rsidR="009150E3" w:rsidRPr="00510549" w:rsidRDefault="009150E3" w:rsidP="00CE2E4C">
      <w:pPr>
        <w:keepLines/>
      </w:pPr>
      <w:r>
        <w:rPr>
          <w:rFonts w:eastAsia="Malgun Gothic"/>
        </w:rPr>
        <w:lastRenderedPageBreak/>
        <w:fldChar w:fldCharType="begin"/>
      </w:r>
      <w:r>
        <w:rPr>
          <w:rFonts w:eastAsia="Malgun Gothic"/>
        </w:rPr>
        <w:instrText xml:space="preserve"> AUTONUM  </w:instrText>
      </w:r>
      <w:r>
        <w:rPr>
          <w:rFonts w:eastAsia="Malgun Gothic"/>
        </w:rPr>
        <w:fldChar w:fldCharType="end"/>
      </w:r>
      <w:r>
        <w:rPr>
          <w:rFonts w:eastAsia="Malgun Gothic"/>
        </w:rPr>
        <w:tab/>
      </w:r>
      <w:r w:rsidRPr="00510549">
        <w:rPr>
          <w:rFonts w:eastAsia="Malgun Gothic"/>
        </w:rPr>
        <w:t xml:space="preserve">The </w:t>
      </w:r>
      <w:r>
        <w:rPr>
          <w:rFonts w:eastAsia="Malgun Gothic"/>
        </w:rPr>
        <w:t xml:space="preserve">PAPI </w:t>
      </w:r>
      <w:r w:rsidRPr="00510549">
        <w:rPr>
          <w:rFonts w:eastAsia="Malgun Gothic"/>
        </w:rPr>
        <w:t xml:space="preserve">Task Force commenced its business from September 2017 and currently </w:t>
      </w:r>
      <w:r>
        <w:rPr>
          <w:rFonts w:eastAsia="Malgun Gothic"/>
        </w:rPr>
        <w:t>32 experts nominated by Industrial Property Offices (</w:t>
      </w:r>
      <w:r w:rsidRPr="00510549">
        <w:rPr>
          <w:rFonts w:eastAsia="Malgun Gothic"/>
        </w:rPr>
        <w:t>IP</w:t>
      </w:r>
      <w:r>
        <w:rPr>
          <w:rFonts w:eastAsia="Malgun Gothic"/>
        </w:rPr>
        <w:t>Os)</w:t>
      </w:r>
      <w:r w:rsidR="00F87B18">
        <w:rPr>
          <w:rFonts w:eastAsia="Malgun Gothic"/>
        </w:rPr>
        <w:t xml:space="preserve">, </w:t>
      </w:r>
      <w:r w:rsidRPr="00510549">
        <w:rPr>
          <w:rFonts w:eastAsia="Malgun Gothic"/>
        </w:rPr>
        <w:t xml:space="preserve"> </w:t>
      </w:r>
      <w:r w:rsidR="00F87B18">
        <w:rPr>
          <w:rFonts w:eastAsia="Malgun Gothic"/>
        </w:rPr>
        <w:t xml:space="preserve">along with </w:t>
      </w:r>
      <w:r>
        <w:rPr>
          <w:rFonts w:eastAsia="Malgun Gothic"/>
        </w:rPr>
        <w:t xml:space="preserve">industry groups </w:t>
      </w:r>
      <w:r w:rsidR="00F87B18">
        <w:rPr>
          <w:rFonts w:eastAsia="Malgun Gothic"/>
        </w:rPr>
        <w:t xml:space="preserve">and </w:t>
      </w:r>
      <w:r w:rsidR="00DB03F7">
        <w:rPr>
          <w:rFonts w:eastAsia="Malgun Gothic"/>
        </w:rPr>
        <w:t>the International Bureau</w:t>
      </w:r>
      <w:r>
        <w:rPr>
          <w:rFonts w:eastAsia="Malgun Gothic"/>
        </w:rPr>
        <w:t xml:space="preserve">, </w:t>
      </w:r>
      <w:r w:rsidRPr="00510549">
        <w:rPr>
          <w:rFonts w:eastAsia="Malgun Gothic"/>
        </w:rPr>
        <w:t xml:space="preserve">participate in </w:t>
      </w:r>
      <w:r>
        <w:rPr>
          <w:rFonts w:eastAsia="Malgun Gothic"/>
        </w:rPr>
        <w:t>the Task Force</w:t>
      </w:r>
      <w:r w:rsidRPr="00510549">
        <w:t>.</w:t>
      </w:r>
      <w:r w:rsidR="00F87B18">
        <w:t xml:space="preserve">  Task Force Members include </w:t>
      </w:r>
      <w:r w:rsidR="00F87B18" w:rsidRPr="00CE2E4C">
        <w:rPr>
          <w:rFonts w:eastAsia="Malgun Gothic"/>
        </w:rPr>
        <w:t xml:space="preserve">Chile, China, Germany, United Kingdom, India, Japan, Republic of Korea, Russian Federation, Slovakia, </w:t>
      </w:r>
      <w:r w:rsidR="00F87B18">
        <w:rPr>
          <w:rFonts w:eastAsia="Malgun Gothic"/>
        </w:rPr>
        <w:t xml:space="preserve">and </w:t>
      </w:r>
      <w:r w:rsidR="00F87B18" w:rsidRPr="00CE2E4C">
        <w:rPr>
          <w:rFonts w:eastAsia="Malgun Gothic"/>
        </w:rPr>
        <w:t>Ukraine</w:t>
      </w:r>
      <w:r w:rsidR="00F87B18">
        <w:rPr>
          <w:rFonts w:eastAsia="Malgun Gothic"/>
        </w:rPr>
        <w:t xml:space="preserve">, along with </w:t>
      </w:r>
      <w:r w:rsidR="00F87B18" w:rsidRPr="00DE091C">
        <w:rPr>
          <w:rFonts w:eastAsia="Malgun Gothic"/>
        </w:rPr>
        <w:t xml:space="preserve">Confederacy of European Patent Information User Groups </w:t>
      </w:r>
      <w:r w:rsidR="00F87B18">
        <w:rPr>
          <w:rFonts w:eastAsia="Malgun Gothic"/>
        </w:rPr>
        <w:t>(CEPIUG) and Patent Documentation Group (PDG).</w:t>
      </w:r>
    </w:p>
    <w:p w:rsidR="009150E3" w:rsidRPr="001B515C" w:rsidRDefault="009150E3" w:rsidP="009150E3">
      <w:pPr>
        <w:pStyle w:val="Heading2"/>
      </w:pPr>
      <w:r w:rsidRPr="001B515C">
        <w:rPr>
          <w:caps w:val="0"/>
        </w:rPr>
        <w:t>DRAFT QUESTIONNAIRE FOR SURVEY</w:t>
      </w:r>
    </w:p>
    <w:p w:rsidR="009150E3" w:rsidRDefault="009150E3" w:rsidP="00DB095F">
      <w:pPr>
        <w:spacing w:after="220"/>
        <w:rPr>
          <w:rFonts w:eastAsia="Malgun Gothic"/>
        </w:rPr>
      </w:pPr>
      <w:r>
        <w:rPr>
          <w:rFonts w:eastAsia="Malgun Gothic"/>
        </w:rPr>
        <w:fldChar w:fldCharType="begin"/>
      </w:r>
      <w:r>
        <w:rPr>
          <w:rFonts w:eastAsia="Malgun Gothic"/>
        </w:rPr>
        <w:instrText xml:space="preserve"> AUTONUM  </w:instrText>
      </w:r>
      <w:r>
        <w:rPr>
          <w:rFonts w:eastAsia="Malgun Gothic"/>
        </w:rPr>
        <w:fldChar w:fldCharType="end"/>
      </w:r>
      <w:r>
        <w:rPr>
          <w:rFonts w:eastAsia="Malgun Gothic"/>
        </w:rPr>
        <w:tab/>
        <w:t xml:space="preserve">In accordance with the decision by the CWS, the PAPI Task Force </w:t>
      </w:r>
      <w:r w:rsidRPr="00510549">
        <w:rPr>
          <w:rFonts w:eastAsia="Malgun Gothic"/>
        </w:rPr>
        <w:t xml:space="preserve">carried </w:t>
      </w:r>
      <w:r>
        <w:rPr>
          <w:rFonts w:eastAsia="Malgun Gothic"/>
        </w:rPr>
        <w:t xml:space="preserve">out five </w:t>
      </w:r>
      <w:r w:rsidRPr="00510549">
        <w:rPr>
          <w:rFonts w:eastAsia="Malgun Gothic"/>
        </w:rPr>
        <w:t>rounds of discussions</w:t>
      </w:r>
      <w:r>
        <w:rPr>
          <w:rFonts w:eastAsia="Malgun Gothic"/>
        </w:rPr>
        <w:t xml:space="preserve"> before </w:t>
      </w:r>
      <w:r w:rsidR="00BF0D3C">
        <w:rPr>
          <w:rFonts w:eastAsia="Malgun Gothic"/>
        </w:rPr>
        <w:t>the sixth session of the CWS</w:t>
      </w:r>
      <w:r>
        <w:rPr>
          <w:rFonts w:eastAsia="Malgun Gothic"/>
        </w:rPr>
        <w:t xml:space="preserve"> to prepare a proposal for the questionnaire </w:t>
      </w:r>
      <w:r w:rsidRPr="00487EB7">
        <w:rPr>
          <w:rFonts w:eastAsia="Malgun Gothic"/>
        </w:rPr>
        <w:t>on the content and functionalities of systems for providing access to publicly available patent information</w:t>
      </w:r>
      <w:r>
        <w:rPr>
          <w:rFonts w:eastAsia="Malgun Gothic"/>
        </w:rPr>
        <w:t xml:space="preserve">.  The questionnaire was presented at </w:t>
      </w:r>
      <w:r w:rsidR="00BF0D3C">
        <w:rPr>
          <w:rFonts w:eastAsia="Malgun Gothic"/>
        </w:rPr>
        <w:t>the sixth session of the CWS</w:t>
      </w:r>
      <w:r w:rsidRPr="00486452">
        <w:rPr>
          <w:rFonts w:eastAsia="Malgun Gothic"/>
        </w:rPr>
        <w:t>.</w:t>
      </w:r>
      <w:r>
        <w:rPr>
          <w:rFonts w:eastAsia="Malgun Gothic"/>
        </w:rPr>
        <w:t xml:space="preserve">  The International Bureau </w:t>
      </w:r>
      <w:r w:rsidRPr="00287694">
        <w:rPr>
          <w:szCs w:val="22"/>
        </w:rPr>
        <w:t xml:space="preserve">requested clarifications from delegations on </w:t>
      </w:r>
      <w:r>
        <w:rPr>
          <w:szCs w:val="22"/>
        </w:rPr>
        <w:t xml:space="preserve">a number of </w:t>
      </w:r>
      <w:r w:rsidRPr="00287694">
        <w:rPr>
          <w:szCs w:val="22"/>
        </w:rPr>
        <w:t xml:space="preserve">issues </w:t>
      </w:r>
      <w:r>
        <w:rPr>
          <w:szCs w:val="22"/>
        </w:rPr>
        <w:t xml:space="preserve">raised by </w:t>
      </w:r>
      <w:r w:rsidRPr="00287694">
        <w:rPr>
          <w:szCs w:val="22"/>
        </w:rPr>
        <w:t>the questionnaire.</w:t>
      </w:r>
      <w:r>
        <w:rPr>
          <w:szCs w:val="22"/>
        </w:rPr>
        <w:t xml:space="preserve">  </w:t>
      </w:r>
      <w:r w:rsidRPr="00287694">
        <w:rPr>
          <w:szCs w:val="22"/>
        </w:rPr>
        <w:t>The CWS referred the questionnaire</w:t>
      </w:r>
      <w:r w:rsidRPr="00287694" w:rsidDel="00DC70DC">
        <w:rPr>
          <w:szCs w:val="22"/>
        </w:rPr>
        <w:t xml:space="preserve"> </w:t>
      </w:r>
      <w:r w:rsidRPr="00287694">
        <w:rPr>
          <w:szCs w:val="22"/>
        </w:rPr>
        <w:t>back to the PAPI Task Force for further consideration.  The CWS requested the Task Force to present a proposal for a revised questionnaire at its seventh session.</w:t>
      </w:r>
    </w:p>
    <w:p w:rsidR="009150E3" w:rsidRDefault="009150E3" w:rsidP="00DB095F">
      <w:pPr>
        <w:spacing w:after="220"/>
        <w:rPr>
          <w:rFonts w:eastAsia="Malgun Gothic"/>
        </w:rPr>
      </w:pPr>
      <w:r>
        <w:rPr>
          <w:rFonts w:eastAsia="Malgun Gothic"/>
        </w:rPr>
        <w:fldChar w:fldCharType="begin"/>
      </w:r>
      <w:r>
        <w:rPr>
          <w:rFonts w:eastAsia="Malgun Gothic"/>
        </w:rPr>
        <w:instrText xml:space="preserve"> AUTONUM  </w:instrText>
      </w:r>
      <w:r>
        <w:rPr>
          <w:rFonts w:eastAsia="Malgun Gothic"/>
        </w:rPr>
        <w:fldChar w:fldCharType="end"/>
      </w:r>
      <w:r>
        <w:rPr>
          <w:rFonts w:eastAsia="Malgun Gothic"/>
        </w:rPr>
        <w:tab/>
        <w:t xml:space="preserve">The PAPI Task Force held three </w:t>
      </w:r>
      <w:r w:rsidRPr="00510549">
        <w:rPr>
          <w:rFonts w:eastAsia="Malgun Gothic"/>
        </w:rPr>
        <w:t>rounds</w:t>
      </w:r>
      <w:r>
        <w:rPr>
          <w:rFonts w:eastAsia="Malgun Gothic"/>
        </w:rPr>
        <w:t xml:space="preserve"> of discussions to address the issues raised at </w:t>
      </w:r>
      <w:r w:rsidR="00BF0D3C">
        <w:rPr>
          <w:rFonts w:eastAsia="Malgun Gothic"/>
        </w:rPr>
        <w:t>the sixth session of the CWS</w:t>
      </w:r>
      <w:r>
        <w:rPr>
          <w:rFonts w:eastAsia="Malgun Gothic"/>
        </w:rPr>
        <w:t xml:space="preserve">.  The Task Force also considered ways to increase responses to the questionnaire.  The questionnaire has been divided into two parts for this purpose.  After the survey is approved by </w:t>
      </w:r>
      <w:r w:rsidR="003638CE">
        <w:rPr>
          <w:rFonts w:eastAsia="Malgun Gothic"/>
        </w:rPr>
        <w:t xml:space="preserve">the </w:t>
      </w:r>
      <w:r>
        <w:rPr>
          <w:rFonts w:eastAsia="Malgun Gothic"/>
        </w:rPr>
        <w:t xml:space="preserve">CWS, the International Bureau will circulate the first part on basic patent information to Offices.  The first part is designed to be answered quickly and easily.  Once Offices submit answers to the first part, they will be sent the second part of the survey asking for more detailed information.  The final draft of the questionnaire is reproduced as </w:t>
      </w:r>
      <w:r w:rsidR="003638CE">
        <w:rPr>
          <w:rFonts w:eastAsia="Malgun Gothic"/>
        </w:rPr>
        <w:t xml:space="preserve">the </w:t>
      </w:r>
      <w:r>
        <w:rPr>
          <w:rFonts w:eastAsia="Malgun Gothic"/>
        </w:rPr>
        <w:t>Annex to this document for consideration and approval by the CWS.</w:t>
      </w:r>
    </w:p>
    <w:p w:rsidR="009150E3" w:rsidRDefault="009150E3" w:rsidP="00DF5308">
      <w:pPr>
        <w:spacing w:after="220"/>
        <w:rPr>
          <w:rFonts w:eastAsia="Malgun Gothic"/>
        </w:rPr>
      </w:pPr>
      <w:r>
        <w:rPr>
          <w:rFonts w:eastAsia="Malgun Gothic"/>
        </w:rPr>
        <w:fldChar w:fldCharType="begin"/>
      </w:r>
      <w:r>
        <w:rPr>
          <w:rFonts w:eastAsia="Malgun Gothic"/>
        </w:rPr>
        <w:instrText xml:space="preserve"> AUTONUM  </w:instrText>
      </w:r>
      <w:r>
        <w:rPr>
          <w:rFonts w:eastAsia="Malgun Gothic"/>
        </w:rPr>
        <w:fldChar w:fldCharType="end"/>
      </w:r>
      <w:r>
        <w:rPr>
          <w:rFonts w:eastAsia="Malgun Gothic"/>
        </w:rPr>
        <w:tab/>
        <w:t>The proposed draft questionnaire consists of two parts covering six areas:</w:t>
      </w:r>
    </w:p>
    <w:p w:rsidR="009150E3" w:rsidRPr="003D428D" w:rsidRDefault="009150E3" w:rsidP="00DF5308">
      <w:pPr>
        <w:spacing w:after="220"/>
        <w:ind w:left="562"/>
        <w:rPr>
          <w:szCs w:val="22"/>
          <w:u w:val="single"/>
        </w:rPr>
      </w:pPr>
      <w:r w:rsidRPr="003D428D">
        <w:rPr>
          <w:rFonts w:eastAsia="Malgun Gothic"/>
          <w:u w:val="single"/>
        </w:rPr>
        <w:t>Part I. B</w:t>
      </w:r>
      <w:r w:rsidRPr="003D428D">
        <w:rPr>
          <w:szCs w:val="22"/>
          <w:u w:val="single"/>
        </w:rPr>
        <w:t>asic availability and coverage of online data systems</w:t>
      </w:r>
    </w:p>
    <w:p w:rsidR="009150E3" w:rsidRDefault="00DF5308" w:rsidP="00DF5308">
      <w:pPr>
        <w:pStyle w:val="ListParagraph"/>
        <w:spacing w:after="220"/>
        <w:ind w:left="562"/>
        <w:contextualSpacing w:val="0"/>
        <w:rPr>
          <w:szCs w:val="22"/>
          <w:u w:val="single"/>
        </w:rPr>
      </w:pPr>
      <w:r>
        <w:rPr>
          <w:rFonts w:eastAsia="Malgun Gothic"/>
          <w:u w:val="single"/>
        </w:rPr>
        <w:t>P</w:t>
      </w:r>
      <w:r w:rsidR="009150E3" w:rsidRPr="003D428D">
        <w:rPr>
          <w:rFonts w:eastAsia="Malgun Gothic"/>
          <w:u w:val="single"/>
        </w:rPr>
        <w:t xml:space="preserve">art </w:t>
      </w:r>
      <w:r w:rsidR="009150E3">
        <w:rPr>
          <w:rFonts w:eastAsia="Malgun Gothic"/>
          <w:u w:val="single"/>
        </w:rPr>
        <w:t>I</w:t>
      </w:r>
      <w:r w:rsidR="009150E3" w:rsidRPr="003D428D">
        <w:rPr>
          <w:rFonts w:eastAsia="Malgun Gothic"/>
          <w:u w:val="single"/>
        </w:rPr>
        <w:t>I</w:t>
      </w:r>
      <w:r w:rsidR="009150E3">
        <w:rPr>
          <w:rFonts w:eastAsia="Malgun Gothic"/>
          <w:u w:val="single"/>
        </w:rPr>
        <w:t>. D</w:t>
      </w:r>
      <w:r w:rsidR="009150E3">
        <w:rPr>
          <w:szCs w:val="22"/>
          <w:u w:val="single"/>
        </w:rPr>
        <w:t>etailed information about the features of online data systems</w:t>
      </w:r>
    </w:p>
    <w:p w:rsidR="009150E3" w:rsidRPr="005F4130" w:rsidRDefault="009150E3" w:rsidP="009150E3">
      <w:pPr>
        <w:pStyle w:val="ONUME"/>
        <w:numPr>
          <w:ilvl w:val="0"/>
          <w:numId w:val="7"/>
        </w:numPr>
        <w:tabs>
          <w:tab w:val="num" w:pos="1701"/>
        </w:tabs>
        <w:ind w:left="1134" w:firstLine="0"/>
        <w:rPr>
          <w:szCs w:val="22"/>
        </w:rPr>
      </w:pPr>
      <w:r>
        <w:rPr>
          <w:szCs w:val="22"/>
        </w:rPr>
        <w:t xml:space="preserve">Conditions for </w:t>
      </w:r>
      <w:r w:rsidRPr="005F4130">
        <w:rPr>
          <w:szCs w:val="22"/>
        </w:rPr>
        <w:t xml:space="preserve">access </w:t>
      </w:r>
      <w:r>
        <w:rPr>
          <w:szCs w:val="22"/>
        </w:rPr>
        <w:t xml:space="preserve">to </w:t>
      </w:r>
      <w:r w:rsidRPr="005F4130">
        <w:rPr>
          <w:szCs w:val="22"/>
        </w:rPr>
        <w:t>patent information systems</w:t>
      </w:r>
    </w:p>
    <w:p w:rsidR="009150E3" w:rsidRPr="005F4130" w:rsidRDefault="009150E3" w:rsidP="009150E3">
      <w:pPr>
        <w:pStyle w:val="ONUME"/>
        <w:numPr>
          <w:ilvl w:val="0"/>
          <w:numId w:val="7"/>
        </w:numPr>
        <w:tabs>
          <w:tab w:val="num" w:pos="1701"/>
        </w:tabs>
        <w:ind w:left="1134" w:firstLine="0"/>
        <w:rPr>
          <w:szCs w:val="22"/>
        </w:rPr>
      </w:pPr>
      <w:r>
        <w:rPr>
          <w:szCs w:val="22"/>
        </w:rPr>
        <w:t>C</w:t>
      </w:r>
      <w:r w:rsidRPr="005F4130">
        <w:rPr>
          <w:szCs w:val="22"/>
        </w:rPr>
        <w:t>ontent availabl</w:t>
      </w:r>
      <w:r>
        <w:rPr>
          <w:szCs w:val="22"/>
        </w:rPr>
        <w:t>e from</w:t>
      </w:r>
      <w:r w:rsidRPr="005F4130">
        <w:rPr>
          <w:szCs w:val="22"/>
        </w:rPr>
        <w:t xml:space="preserve"> </w:t>
      </w:r>
      <w:r>
        <w:rPr>
          <w:szCs w:val="22"/>
        </w:rPr>
        <w:t>the systems</w:t>
      </w:r>
    </w:p>
    <w:p w:rsidR="009150E3" w:rsidRDefault="009150E3" w:rsidP="009150E3">
      <w:pPr>
        <w:pStyle w:val="ONUME"/>
        <w:numPr>
          <w:ilvl w:val="0"/>
          <w:numId w:val="7"/>
        </w:numPr>
        <w:tabs>
          <w:tab w:val="num" w:pos="1701"/>
        </w:tabs>
        <w:ind w:left="1134" w:firstLine="0"/>
        <w:rPr>
          <w:szCs w:val="22"/>
        </w:rPr>
      </w:pPr>
      <w:r>
        <w:rPr>
          <w:szCs w:val="22"/>
        </w:rPr>
        <w:t>F</w:t>
      </w:r>
      <w:r w:rsidRPr="005F4130">
        <w:rPr>
          <w:szCs w:val="22"/>
        </w:rPr>
        <w:t xml:space="preserve">unctionality of the systems </w:t>
      </w:r>
    </w:p>
    <w:p w:rsidR="009150E3" w:rsidRPr="005F4130" w:rsidRDefault="009150E3" w:rsidP="009150E3">
      <w:pPr>
        <w:pStyle w:val="ONUME"/>
        <w:numPr>
          <w:ilvl w:val="0"/>
          <w:numId w:val="7"/>
        </w:numPr>
        <w:tabs>
          <w:tab w:val="num" w:pos="1701"/>
        </w:tabs>
        <w:ind w:left="1134" w:firstLine="0"/>
        <w:rPr>
          <w:szCs w:val="22"/>
        </w:rPr>
      </w:pPr>
      <w:r>
        <w:rPr>
          <w:szCs w:val="22"/>
        </w:rPr>
        <w:t xml:space="preserve">What the </w:t>
      </w:r>
      <w:r w:rsidRPr="005F4130">
        <w:rPr>
          <w:szCs w:val="22"/>
        </w:rPr>
        <w:t xml:space="preserve">IPO </w:t>
      </w:r>
      <w:r>
        <w:rPr>
          <w:szCs w:val="22"/>
        </w:rPr>
        <w:t xml:space="preserve">would like </w:t>
      </w:r>
      <w:r w:rsidRPr="005F4130">
        <w:rPr>
          <w:szCs w:val="22"/>
        </w:rPr>
        <w:t xml:space="preserve">to </w:t>
      </w:r>
      <w:r>
        <w:rPr>
          <w:szCs w:val="22"/>
        </w:rPr>
        <w:t xml:space="preserve">access from </w:t>
      </w:r>
      <w:r w:rsidRPr="005F4130">
        <w:rPr>
          <w:szCs w:val="22"/>
        </w:rPr>
        <w:t>other IPOs’ systems</w:t>
      </w:r>
    </w:p>
    <w:p w:rsidR="009150E3" w:rsidRPr="005F4130" w:rsidRDefault="00DB095F" w:rsidP="009150E3">
      <w:pPr>
        <w:pStyle w:val="ONUME"/>
        <w:numPr>
          <w:ilvl w:val="0"/>
          <w:numId w:val="7"/>
        </w:numPr>
        <w:tabs>
          <w:tab w:val="num" w:pos="1701"/>
        </w:tabs>
        <w:ind w:left="1134" w:firstLine="0"/>
        <w:rPr>
          <w:szCs w:val="22"/>
        </w:rPr>
      </w:pPr>
      <w:r>
        <w:rPr>
          <w:szCs w:val="22"/>
        </w:rPr>
        <w:t>T</w:t>
      </w:r>
      <w:r w:rsidR="009150E3" w:rsidRPr="005F4130">
        <w:rPr>
          <w:szCs w:val="22"/>
        </w:rPr>
        <w:t>he IPO’s future plan</w:t>
      </w:r>
      <w:r w:rsidR="009150E3">
        <w:rPr>
          <w:szCs w:val="22"/>
        </w:rPr>
        <w:t>s</w:t>
      </w:r>
      <w:r w:rsidR="009150E3" w:rsidRPr="005F4130">
        <w:rPr>
          <w:szCs w:val="22"/>
        </w:rPr>
        <w:t xml:space="preserve"> </w:t>
      </w:r>
      <w:r w:rsidR="009150E3">
        <w:rPr>
          <w:szCs w:val="22"/>
        </w:rPr>
        <w:t xml:space="preserve">for their </w:t>
      </w:r>
      <w:r w:rsidR="009150E3" w:rsidRPr="005F4130">
        <w:rPr>
          <w:szCs w:val="22"/>
        </w:rPr>
        <w:t xml:space="preserve">patent information systems and </w:t>
      </w:r>
      <w:r w:rsidR="009150E3">
        <w:rPr>
          <w:szCs w:val="22"/>
        </w:rPr>
        <w:t xml:space="preserve">helpful </w:t>
      </w:r>
      <w:r w:rsidR="009150E3" w:rsidRPr="005F4130">
        <w:rPr>
          <w:szCs w:val="22"/>
        </w:rPr>
        <w:t>area</w:t>
      </w:r>
      <w:r w:rsidR="009150E3">
        <w:rPr>
          <w:szCs w:val="22"/>
        </w:rPr>
        <w:t>s</w:t>
      </w:r>
      <w:r w:rsidR="009150E3" w:rsidRPr="005F4130">
        <w:rPr>
          <w:szCs w:val="22"/>
        </w:rPr>
        <w:t xml:space="preserve"> f</w:t>
      </w:r>
      <w:r w:rsidR="009150E3">
        <w:rPr>
          <w:szCs w:val="22"/>
        </w:rPr>
        <w:t>or</w:t>
      </w:r>
      <w:r w:rsidR="009150E3" w:rsidRPr="005F4130">
        <w:rPr>
          <w:szCs w:val="22"/>
        </w:rPr>
        <w:t xml:space="preserve"> WIPO recommendations</w:t>
      </w:r>
      <w:r>
        <w:rPr>
          <w:szCs w:val="22"/>
        </w:rPr>
        <w:t>.</w:t>
      </w:r>
    </w:p>
    <w:p w:rsidR="009150E3" w:rsidRDefault="009150E3" w:rsidP="00A449FF">
      <w:pPr>
        <w:pStyle w:val="Heading2"/>
        <w:keepLines/>
        <w:rPr>
          <w:rFonts w:eastAsia="Malgun Gothic"/>
          <w:caps w:val="0"/>
          <w:szCs w:val="22"/>
        </w:rPr>
      </w:pPr>
      <w:r w:rsidRPr="00B92CB4">
        <w:rPr>
          <w:rFonts w:eastAsia="Malgun Gothic"/>
          <w:caps w:val="0"/>
          <w:szCs w:val="22"/>
        </w:rPr>
        <w:lastRenderedPageBreak/>
        <w:t>WORK PLAN</w:t>
      </w:r>
    </w:p>
    <w:p w:rsidR="009150E3" w:rsidRDefault="009150E3" w:rsidP="00DF5308">
      <w:pPr>
        <w:keepNext/>
        <w:keepLines/>
        <w:spacing w:after="220"/>
        <w:rPr>
          <w:rFonts w:eastAsia="Malgun Gothic"/>
        </w:rPr>
      </w:pPr>
      <w:r w:rsidRPr="00842C87">
        <w:rPr>
          <w:rFonts w:eastAsia="Malgun Gothic"/>
        </w:rPr>
        <w:fldChar w:fldCharType="begin"/>
      </w:r>
      <w:r w:rsidRPr="00842C87">
        <w:rPr>
          <w:rFonts w:eastAsia="Malgun Gothic"/>
        </w:rPr>
        <w:instrText xml:space="preserve"> AUTONUM  </w:instrText>
      </w:r>
      <w:r w:rsidRPr="00842C87">
        <w:rPr>
          <w:rFonts w:eastAsia="Malgun Gothic"/>
        </w:rPr>
        <w:fldChar w:fldCharType="end"/>
      </w:r>
      <w:r w:rsidRPr="00842C87">
        <w:rPr>
          <w:rFonts w:eastAsia="Malgun Gothic"/>
        </w:rPr>
        <w:tab/>
        <w:t xml:space="preserve">The Task Force proposes the following work plan to carry </w:t>
      </w:r>
      <w:r>
        <w:rPr>
          <w:rFonts w:eastAsia="Malgun Gothic"/>
        </w:rPr>
        <w:t>on</w:t>
      </w:r>
      <w:r w:rsidRPr="00842C87">
        <w:rPr>
          <w:rFonts w:eastAsia="Malgun Gothic"/>
        </w:rPr>
        <w:t xml:space="preserve"> Task No. 5</w:t>
      </w:r>
      <w:r>
        <w:rPr>
          <w:rFonts w:eastAsia="Malgun Gothic"/>
        </w:rPr>
        <w:t>2</w:t>
      </w:r>
      <w:r w:rsidRPr="00842C87">
        <w:rPr>
          <w:rFonts w:eastAsia="Malgun Gothic"/>
        </w:rPr>
        <w:t>:</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3127"/>
        <w:gridCol w:w="3798"/>
        <w:gridCol w:w="2420"/>
      </w:tblGrid>
      <w:tr w:rsidR="009150E3" w:rsidTr="00C80D89">
        <w:trPr>
          <w:cantSplit/>
        </w:trPr>
        <w:tc>
          <w:tcPr>
            <w:tcW w:w="3127" w:type="dxa"/>
            <w:shd w:val="clear" w:color="auto" w:fill="D9D9D9" w:themeFill="background1" w:themeFillShade="D9"/>
          </w:tcPr>
          <w:p w:rsidR="009150E3" w:rsidRPr="00F377F6" w:rsidRDefault="009150E3" w:rsidP="00A449FF">
            <w:pPr>
              <w:keepNext/>
              <w:keepLines/>
              <w:jc w:val="center"/>
              <w:rPr>
                <w:b/>
              </w:rPr>
            </w:pPr>
            <w:r w:rsidRPr="00F377F6">
              <w:rPr>
                <w:b/>
              </w:rPr>
              <w:t>Action</w:t>
            </w:r>
          </w:p>
        </w:tc>
        <w:tc>
          <w:tcPr>
            <w:tcW w:w="3798" w:type="dxa"/>
            <w:shd w:val="clear" w:color="auto" w:fill="D9D9D9" w:themeFill="background1" w:themeFillShade="D9"/>
          </w:tcPr>
          <w:p w:rsidR="009150E3" w:rsidRPr="00F377F6" w:rsidRDefault="009150E3" w:rsidP="00A449FF">
            <w:pPr>
              <w:keepNext/>
              <w:keepLines/>
              <w:jc w:val="center"/>
              <w:rPr>
                <w:b/>
              </w:rPr>
            </w:pPr>
            <w:r w:rsidRPr="00F377F6">
              <w:rPr>
                <w:b/>
              </w:rPr>
              <w:t>Expected Result</w:t>
            </w:r>
          </w:p>
        </w:tc>
        <w:tc>
          <w:tcPr>
            <w:tcW w:w="2420" w:type="dxa"/>
            <w:shd w:val="clear" w:color="auto" w:fill="D9D9D9" w:themeFill="background1" w:themeFillShade="D9"/>
          </w:tcPr>
          <w:p w:rsidR="009150E3" w:rsidRPr="00F377F6" w:rsidRDefault="009150E3" w:rsidP="00A449FF">
            <w:pPr>
              <w:keepNext/>
              <w:keepLines/>
              <w:jc w:val="center"/>
              <w:rPr>
                <w:b/>
              </w:rPr>
            </w:pPr>
            <w:r w:rsidRPr="00F377F6">
              <w:rPr>
                <w:b/>
              </w:rPr>
              <w:t>Planned Date</w:t>
            </w:r>
          </w:p>
        </w:tc>
      </w:tr>
      <w:tr w:rsidR="009150E3" w:rsidTr="00CD1FE1">
        <w:trPr>
          <w:cantSplit/>
        </w:trPr>
        <w:tc>
          <w:tcPr>
            <w:tcW w:w="3127" w:type="dxa"/>
          </w:tcPr>
          <w:p w:rsidR="009150E3" w:rsidRPr="00842C87" w:rsidRDefault="009150E3" w:rsidP="00A449FF">
            <w:pPr>
              <w:keepNext/>
              <w:keepLines/>
            </w:pPr>
            <w:r w:rsidRPr="00842C87">
              <w:t>Present progress report</w:t>
            </w:r>
            <w:r>
              <w:t>, including a final</w:t>
            </w:r>
            <w:r w:rsidRPr="00842C87">
              <w:t xml:space="preserve"> draft questionnaire</w:t>
            </w:r>
            <w:r>
              <w:t xml:space="preserve"> regarding systems for publically available patent information </w:t>
            </w:r>
            <w:r w:rsidRPr="00842C87">
              <w:t xml:space="preserve">at the </w:t>
            </w:r>
            <w:r>
              <w:t xml:space="preserve">seventh </w:t>
            </w:r>
            <w:r w:rsidRPr="00842C87">
              <w:t>session of the CWS</w:t>
            </w:r>
          </w:p>
        </w:tc>
        <w:tc>
          <w:tcPr>
            <w:tcW w:w="3798" w:type="dxa"/>
          </w:tcPr>
          <w:p w:rsidR="009150E3" w:rsidRPr="00842C87" w:rsidRDefault="009150E3" w:rsidP="00A449FF">
            <w:pPr>
              <w:keepNext/>
              <w:keepLines/>
            </w:pPr>
            <w:r w:rsidRPr="00842C87">
              <w:t xml:space="preserve">It is expected that </w:t>
            </w:r>
            <w:r>
              <w:t xml:space="preserve">the CWS will review and approve the draft questionnaire at this session. </w:t>
            </w:r>
          </w:p>
          <w:p w:rsidR="009150E3" w:rsidRPr="00842C87" w:rsidRDefault="009150E3" w:rsidP="00A449FF">
            <w:pPr>
              <w:keepNext/>
              <w:keepLines/>
            </w:pPr>
          </w:p>
        </w:tc>
        <w:tc>
          <w:tcPr>
            <w:tcW w:w="2420" w:type="dxa"/>
          </w:tcPr>
          <w:p w:rsidR="009150E3" w:rsidRPr="00842C87" w:rsidRDefault="009150E3" w:rsidP="00A449FF">
            <w:pPr>
              <w:keepNext/>
              <w:keepLines/>
            </w:pPr>
            <w:r>
              <w:t>July 2019</w:t>
            </w:r>
          </w:p>
        </w:tc>
      </w:tr>
      <w:tr w:rsidR="009150E3" w:rsidTr="00CD1FE1">
        <w:trPr>
          <w:cantSplit/>
        </w:trPr>
        <w:tc>
          <w:tcPr>
            <w:tcW w:w="3127" w:type="dxa"/>
          </w:tcPr>
          <w:p w:rsidR="009150E3" w:rsidRPr="00842C87" w:rsidRDefault="009150E3" w:rsidP="00A449FF">
            <w:pPr>
              <w:keepNext/>
              <w:keepLines/>
            </w:pPr>
            <w:r w:rsidRPr="00842C87">
              <w:t xml:space="preserve">Conduct the survey </w:t>
            </w:r>
            <w:r>
              <w:t>with the approved questionnaire</w:t>
            </w:r>
            <w:r>
              <w:br/>
            </w:r>
            <w:r w:rsidRPr="006E6BCE">
              <w:rPr>
                <w:i/>
              </w:rPr>
              <w:t xml:space="preserve">[Note : the Secretariat will investigate </w:t>
            </w:r>
            <w:r>
              <w:rPr>
                <w:i/>
              </w:rPr>
              <w:t>the best survey tool]</w:t>
            </w:r>
          </w:p>
        </w:tc>
        <w:tc>
          <w:tcPr>
            <w:tcW w:w="3798" w:type="dxa"/>
          </w:tcPr>
          <w:p w:rsidR="009150E3" w:rsidRPr="00842C87" w:rsidRDefault="009150E3" w:rsidP="00A449FF">
            <w:pPr>
              <w:keepNext/>
              <w:keepLines/>
            </w:pPr>
            <w:r w:rsidRPr="00842C87">
              <w:t xml:space="preserve">The </w:t>
            </w:r>
            <w:r>
              <w:t xml:space="preserve">Secretariat </w:t>
            </w:r>
            <w:r w:rsidRPr="00842C87">
              <w:t xml:space="preserve">will </w:t>
            </w:r>
            <w:r>
              <w:t xml:space="preserve">issue a circular inviting </w:t>
            </w:r>
            <w:r w:rsidRPr="00842C87">
              <w:t xml:space="preserve">IPOs </w:t>
            </w:r>
            <w:r>
              <w:t>to participate in the survey</w:t>
            </w:r>
          </w:p>
        </w:tc>
        <w:tc>
          <w:tcPr>
            <w:tcW w:w="2420" w:type="dxa"/>
          </w:tcPr>
          <w:p w:rsidR="009150E3" w:rsidRPr="00842C87" w:rsidRDefault="009150E3" w:rsidP="00A449FF">
            <w:pPr>
              <w:keepNext/>
              <w:keepLines/>
            </w:pPr>
            <w:r>
              <w:t>Oct 2019</w:t>
            </w:r>
          </w:p>
        </w:tc>
      </w:tr>
      <w:tr w:rsidR="009150E3" w:rsidTr="00CD1FE1">
        <w:trPr>
          <w:cantSplit/>
        </w:trPr>
        <w:tc>
          <w:tcPr>
            <w:tcW w:w="3127" w:type="dxa"/>
          </w:tcPr>
          <w:p w:rsidR="009150E3" w:rsidRPr="00842C87" w:rsidRDefault="009150E3" w:rsidP="00A449FF">
            <w:pPr>
              <w:keepNext/>
              <w:keepLines/>
            </w:pPr>
            <w:r w:rsidRPr="00842C87">
              <w:t>Collect and analyze the survey responses</w:t>
            </w:r>
          </w:p>
        </w:tc>
        <w:tc>
          <w:tcPr>
            <w:tcW w:w="3798" w:type="dxa"/>
          </w:tcPr>
          <w:p w:rsidR="009150E3" w:rsidRPr="00842C87" w:rsidRDefault="009150E3" w:rsidP="00A449FF">
            <w:pPr>
              <w:keepNext/>
              <w:keepLines/>
            </w:pPr>
            <w:r>
              <w:t>IPOs will respond the survey; and t</w:t>
            </w:r>
            <w:r w:rsidRPr="00842C87">
              <w:t>he Task Force will analyze survey outcome.</w:t>
            </w:r>
          </w:p>
        </w:tc>
        <w:tc>
          <w:tcPr>
            <w:tcW w:w="2420" w:type="dxa"/>
          </w:tcPr>
          <w:p w:rsidR="009150E3" w:rsidRPr="00842C87" w:rsidRDefault="009150E3" w:rsidP="00A449FF">
            <w:pPr>
              <w:keepNext/>
              <w:keepLines/>
            </w:pPr>
            <w:r>
              <w:t>Feb</w:t>
            </w:r>
            <w:r w:rsidRPr="00842C87">
              <w:t xml:space="preserve"> 20</w:t>
            </w:r>
            <w:r>
              <w:t>20</w:t>
            </w:r>
          </w:p>
        </w:tc>
      </w:tr>
      <w:tr w:rsidR="009150E3" w:rsidTr="00CD1FE1">
        <w:trPr>
          <w:cantSplit/>
        </w:trPr>
        <w:tc>
          <w:tcPr>
            <w:tcW w:w="3127" w:type="dxa"/>
          </w:tcPr>
          <w:p w:rsidR="009150E3" w:rsidRPr="00842C87" w:rsidRDefault="009150E3" w:rsidP="00A449FF">
            <w:pPr>
              <w:keepNext/>
              <w:keepLines/>
            </w:pPr>
            <w:r w:rsidRPr="00842C87">
              <w:t xml:space="preserve">Prepare a </w:t>
            </w:r>
            <w:r>
              <w:t>report on the result of survey</w:t>
            </w:r>
          </w:p>
        </w:tc>
        <w:tc>
          <w:tcPr>
            <w:tcW w:w="3798" w:type="dxa"/>
          </w:tcPr>
          <w:p w:rsidR="009150E3" w:rsidRPr="00842C87" w:rsidRDefault="009150E3" w:rsidP="00A449FF">
            <w:pPr>
              <w:keepNext/>
              <w:keepLines/>
            </w:pPr>
            <w:r w:rsidRPr="00842C87">
              <w:t xml:space="preserve">The Task Force </w:t>
            </w:r>
            <w:r>
              <w:t xml:space="preserve">will </w:t>
            </w:r>
            <w:r w:rsidRPr="00842C87">
              <w:t xml:space="preserve">prepare a summary of the survey </w:t>
            </w:r>
            <w:r>
              <w:t>result and propose further action required for consideration at CWS/8</w:t>
            </w:r>
            <w:r w:rsidRPr="00842C87">
              <w:t>.</w:t>
            </w:r>
          </w:p>
        </w:tc>
        <w:tc>
          <w:tcPr>
            <w:tcW w:w="2420" w:type="dxa"/>
          </w:tcPr>
          <w:p w:rsidR="009150E3" w:rsidRPr="00842C87" w:rsidRDefault="009150E3" w:rsidP="00A449FF">
            <w:pPr>
              <w:keepNext/>
              <w:keepLines/>
            </w:pPr>
            <w:r>
              <w:t>CWS/8</w:t>
            </w:r>
          </w:p>
        </w:tc>
      </w:tr>
    </w:tbl>
    <w:p w:rsidR="00A449FF" w:rsidRDefault="00A449FF" w:rsidP="009150E3">
      <w:pPr>
        <w:pStyle w:val="ONUME"/>
        <w:numPr>
          <w:ilvl w:val="0"/>
          <w:numId w:val="0"/>
        </w:numPr>
      </w:pPr>
    </w:p>
    <w:p w:rsidR="009150E3" w:rsidRPr="002C59A8" w:rsidRDefault="00A449FF" w:rsidP="00A449FF">
      <w:pPr>
        <w:pStyle w:val="ONUME"/>
        <w:numPr>
          <w:ilvl w:val="0"/>
          <w:numId w:val="0"/>
        </w:numPr>
        <w:ind w:firstLine="5580"/>
      </w:pPr>
      <w:r>
        <w:rPr>
          <w:i/>
        </w:rPr>
        <w:fldChar w:fldCharType="begin"/>
      </w:r>
      <w:r>
        <w:rPr>
          <w:i/>
        </w:rPr>
        <w:instrText xml:space="preserve"> AUTONUM  </w:instrText>
      </w:r>
      <w:r>
        <w:rPr>
          <w:i/>
        </w:rPr>
        <w:fldChar w:fldCharType="end"/>
      </w:r>
      <w:r>
        <w:rPr>
          <w:i/>
        </w:rPr>
        <w:tab/>
      </w:r>
      <w:r w:rsidR="009150E3" w:rsidRPr="002C59A8">
        <w:rPr>
          <w:i/>
        </w:rPr>
        <w:t>The CWS is invited to:</w:t>
      </w:r>
      <w:r w:rsidR="009150E3" w:rsidRPr="002C59A8">
        <w:t xml:space="preserve"> </w:t>
      </w:r>
    </w:p>
    <w:p w:rsidR="009150E3" w:rsidRDefault="009150E3" w:rsidP="009150E3">
      <w:pPr>
        <w:pStyle w:val="BodyText"/>
        <w:tabs>
          <w:tab w:val="left" w:pos="6160"/>
          <w:tab w:val="left" w:pos="6710"/>
        </w:tabs>
        <w:ind w:left="5533"/>
        <w:rPr>
          <w:i/>
        </w:rPr>
      </w:pPr>
      <w:r w:rsidRPr="002C59A8">
        <w:rPr>
          <w:i/>
        </w:rPr>
        <w:tab/>
        <w:t>(a)</w:t>
      </w:r>
      <w:r w:rsidRPr="002C59A8">
        <w:rPr>
          <w:i/>
        </w:rPr>
        <w:tab/>
        <w:t>note the content of the present document</w:t>
      </w:r>
      <w:r>
        <w:rPr>
          <w:i/>
        </w:rPr>
        <w:t>;</w:t>
      </w:r>
    </w:p>
    <w:p w:rsidR="009150E3" w:rsidRDefault="009150E3" w:rsidP="009150E3">
      <w:pPr>
        <w:pStyle w:val="BodyText"/>
        <w:tabs>
          <w:tab w:val="left" w:pos="6160"/>
          <w:tab w:val="left" w:pos="6710"/>
        </w:tabs>
        <w:ind w:left="5533"/>
        <w:rPr>
          <w:i/>
        </w:rPr>
      </w:pPr>
      <w:r>
        <w:rPr>
          <w:i/>
        </w:rPr>
        <w:tab/>
        <w:t>(b)</w:t>
      </w:r>
      <w:r>
        <w:rPr>
          <w:i/>
        </w:rPr>
        <w:tab/>
        <w:t>consider and approve the draft questionnaire, as reproduced in Annex to the present document; and</w:t>
      </w:r>
    </w:p>
    <w:p w:rsidR="009150E3" w:rsidRPr="00E562EB" w:rsidRDefault="009150E3" w:rsidP="009150E3">
      <w:pPr>
        <w:pStyle w:val="BodyText"/>
        <w:tabs>
          <w:tab w:val="left" w:pos="6160"/>
          <w:tab w:val="left" w:pos="6710"/>
        </w:tabs>
        <w:spacing w:after="0"/>
        <w:ind w:left="5533"/>
      </w:pPr>
      <w:r>
        <w:rPr>
          <w:i/>
        </w:rPr>
        <w:tab/>
        <w:t>(c)</w:t>
      </w:r>
      <w:r>
        <w:rPr>
          <w:i/>
        </w:rPr>
        <w:tab/>
        <w:t xml:space="preserve">request the Secretariat to issue a circular inviting IPOs to participate in the survey referred to </w:t>
      </w:r>
      <w:r w:rsidR="003638CE">
        <w:rPr>
          <w:i/>
        </w:rPr>
        <w:t xml:space="preserve">in paragraph 7 </w:t>
      </w:r>
      <w:r w:rsidRPr="002C59A8">
        <w:rPr>
          <w:i/>
        </w:rPr>
        <w:t>above</w:t>
      </w:r>
      <w:r>
        <w:rPr>
          <w:i/>
        </w:rPr>
        <w:t>.</w:t>
      </w:r>
    </w:p>
    <w:p w:rsidR="009150E3" w:rsidRPr="00E562EB" w:rsidRDefault="009150E3" w:rsidP="009150E3">
      <w:pPr>
        <w:pStyle w:val="BodyText"/>
        <w:tabs>
          <w:tab w:val="left" w:pos="6160"/>
          <w:tab w:val="left" w:pos="6710"/>
        </w:tabs>
        <w:spacing w:after="0"/>
        <w:ind w:left="5533"/>
      </w:pPr>
    </w:p>
    <w:p w:rsidR="009150E3" w:rsidRPr="00E562EB" w:rsidRDefault="009150E3" w:rsidP="009150E3">
      <w:pPr>
        <w:pStyle w:val="BodyText"/>
        <w:tabs>
          <w:tab w:val="left" w:pos="6160"/>
          <w:tab w:val="left" w:pos="6710"/>
        </w:tabs>
        <w:spacing w:after="0"/>
        <w:ind w:left="5533"/>
      </w:pPr>
    </w:p>
    <w:p w:rsidR="009150E3" w:rsidRPr="00634233" w:rsidRDefault="009150E3" w:rsidP="009150E3">
      <w:pPr>
        <w:pStyle w:val="Endofdocument-Annex"/>
      </w:pPr>
      <w:r w:rsidRPr="002C59A8">
        <w:rPr>
          <w:lang w:val="en-GB"/>
        </w:rPr>
        <w:t>[</w:t>
      </w:r>
      <w:r>
        <w:rPr>
          <w:lang w:val="en-GB"/>
        </w:rPr>
        <w:t>Annex follows]</w:t>
      </w:r>
    </w:p>
    <w:sectPr w:rsidR="009150E3" w:rsidRPr="00634233" w:rsidSect="007F388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889" w:rsidRDefault="007F3889">
      <w:r>
        <w:separator/>
      </w:r>
    </w:p>
  </w:endnote>
  <w:endnote w:type="continuationSeparator" w:id="0">
    <w:p w:rsidR="007F3889" w:rsidRDefault="007F3889" w:rsidP="003B38C1">
      <w:r>
        <w:separator/>
      </w:r>
    </w:p>
    <w:p w:rsidR="007F3889" w:rsidRPr="003B38C1" w:rsidRDefault="007F3889" w:rsidP="003B38C1">
      <w:pPr>
        <w:spacing w:after="60"/>
        <w:rPr>
          <w:sz w:val="17"/>
        </w:rPr>
      </w:pPr>
      <w:r>
        <w:rPr>
          <w:sz w:val="17"/>
        </w:rPr>
        <w:t>[Endnote continued from previous page]</w:t>
      </w:r>
    </w:p>
  </w:endnote>
  <w:endnote w:type="continuationNotice" w:id="1">
    <w:p w:rsidR="007F3889" w:rsidRPr="003B38C1" w:rsidRDefault="007F38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889" w:rsidRDefault="007F3889">
      <w:r>
        <w:separator/>
      </w:r>
    </w:p>
  </w:footnote>
  <w:footnote w:type="continuationSeparator" w:id="0">
    <w:p w:rsidR="007F3889" w:rsidRDefault="007F3889" w:rsidP="008B60B2">
      <w:r>
        <w:separator/>
      </w:r>
    </w:p>
    <w:p w:rsidR="007F3889" w:rsidRPr="00ED77FB" w:rsidRDefault="007F3889" w:rsidP="008B60B2">
      <w:pPr>
        <w:spacing w:after="60"/>
        <w:rPr>
          <w:sz w:val="17"/>
          <w:szCs w:val="17"/>
        </w:rPr>
      </w:pPr>
      <w:r w:rsidRPr="00ED77FB">
        <w:rPr>
          <w:sz w:val="17"/>
          <w:szCs w:val="17"/>
        </w:rPr>
        <w:t>[Footnote continued from previous page]</w:t>
      </w:r>
    </w:p>
  </w:footnote>
  <w:footnote w:type="continuationNotice" w:id="1">
    <w:p w:rsidR="007F3889" w:rsidRPr="00ED77FB" w:rsidRDefault="007F38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F3889" w:rsidP="00477D6B">
    <w:pPr>
      <w:jc w:val="right"/>
    </w:pPr>
    <w:bookmarkStart w:id="6" w:name="Code2"/>
    <w:bookmarkEnd w:id="6"/>
    <w:r>
      <w:t>CWS/7/25</w:t>
    </w:r>
  </w:p>
  <w:p w:rsidR="00EC4E49" w:rsidRDefault="00EC4E49" w:rsidP="00477D6B">
    <w:pPr>
      <w:jc w:val="right"/>
    </w:pPr>
    <w:r>
      <w:t xml:space="preserve">page </w:t>
    </w:r>
    <w:r>
      <w:fldChar w:fldCharType="begin"/>
    </w:r>
    <w:r>
      <w:instrText xml:space="preserve"> PAGE  \* MERGEFORMAT </w:instrText>
    </w:r>
    <w:r>
      <w:fldChar w:fldCharType="separate"/>
    </w:r>
    <w:r w:rsidR="00D9267B">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89"/>
    <w:rsid w:val="00043CAA"/>
    <w:rsid w:val="00075432"/>
    <w:rsid w:val="00084C62"/>
    <w:rsid w:val="000968ED"/>
    <w:rsid w:val="000E65C5"/>
    <w:rsid w:val="000F5E56"/>
    <w:rsid w:val="001362EE"/>
    <w:rsid w:val="001647D5"/>
    <w:rsid w:val="001832A6"/>
    <w:rsid w:val="00191819"/>
    <w:rsid w:val="0021217E"/>
    <w:rsid w:val="002634C4"/>
    <w:rsid w:val="002928D3"/>
    <w:rsid w:val="002F1FE6"/>
    <w:rsid w:val="002F4E68"/>
    <w:rsid w:val="00312F7F"/>
    <w:rsid w:val="00361450"/>
    <w:rsid w:val="003638CE"/>
    <w:rsid w:val="003673CF"/>
    <w:rsid w:val="003845C1"/>
    <w:rsid w:val="00392BAA"/>
    <w:rsid w:val="003A6F89"/>
    <w:rsid w:val="003B38C1"/>
    <w:rsid w:val="00423E3E"/>
    <w:rsid w:val="00427AF4"/>
    <w:rsid w:val="004647DA"/>
    <w:rsid w:val="00474062"/>
    <w:rsid w:val="00477D6B"/>
    <w:rsid w:val="00486452"/>
    <w:rsid w:val="005019FF"/>
    <w:rsid w:val="0053057A"/>
    <w:rsid w:val="00560A29"/>
    <w:rsid w:val="005C6649"/>
    <w:rsid w:val="00605827"/>
    <w:rsid w:val="00646050"/>
    <w:rsid w:val="006713CA"/>
    <w:rsid w:val="00676C5C"/>
    <w:rsid w:val="007D1613"/>
    <w:rsid w:val="007E4C0E"/>
    <w:rsid w:val="007F3889"/>
    <w:rsid w:val="008A134B"/>
    <w:rsid w:val="008B2CC1"/>
    <w:rsid w:val="008B60B2"/>
    <w:rsid w:val="0090731E"/>
    <w:rsid w:val="009150E3"/>
    <w:rsid w:val="00916EE2"/>
    <w:rsid w:val="00966A22"/>
    <w:rsid w:val="0096722F"/>
    <w:rsid w:val="00980843"/>
    <w:rsid w:val="009C7DB0"/>
    <w:rsid w:val="009E2791"/>
    <w:rsid w:val="009E3F6F"/>
    <w:rsid w:val="009F499F"/>
    <w:rsid w:val="00A37342"/>
    <w:rsid w:val="00A42DAF"/>
    <w:rsid w:val="00A449FF"/>
    <w:rsid w:val="00A45BD8"/>
    <w:rsid w:val="00A869B7"/>
    <w:rsid w:val="00AC205C"/>
    <w:rsid w:val="00AF0A6B"/>
    <w:rsid w:val="00B05A69"/>
    <w:rsid w:val="00B24089"/>
    <w:rsid w:val="00B4251B"/>
    <w:rsid w:val="00B9734B"/>
    <w:rsid w:val="00BA30E2"/>
    <w:rsid w:val="00BF0D3C"/>
    <w:rsid w:val="00C0065B"/>
    <w:rsid w:val="00C11BFE"/>
    <w:rsid w:val="00C5068F"/>
    <w:rsid w:val="00C80D89"/>
    <w:rsid w:val="00C86D74"/>
    <w:rsid w:val="00CD04F1"/>
    <w:rsid w:val="00CD1FE1"/>
    <w:rsid w:val="00CD59F2"/>
    <w:rsid w:val="00CE2E4C"/>
    <w:rsid w:val="00D3124F"/>
    <w:rsid w:val="00D45252"/>
    <w:rsid w:val="00D71B4D"/>
    <w:rsid w:val="00D9267B"/>
    <w:rsid w:val="00D93D55"/>
    <w:rsid w:val="00DB03F7"/>
    <w:rsid w:val="00DB095F"/>
    <w:rsid w:val="00DF5308"/>
    <w:rsid w:val="00E15015"/>
    <w:rsid w:val="00E335FE"/>
    <w:rsid w:val="00E562EB"/>
    <w:rsid w:val="00EA7D6E"/>
    <w:rsid w:val="00EC4E49"/>
    <w:rsid w:val="00ED77FB"/>
    <w:rsid w:val="00EE45FA"/>
    <w:rsid w:val="00F66152"/>
    <w:rsid w:val="00F87B18"/>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41C3D49C-7765-4D3E-AA16-D4059F10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Heading2Char">
    <w:name w:val="Heading 2 Char"/>
    <w:basedOn w:val="DefaultParagraphFont"/>
    <w:link w:val="Heading2"/>
    <w:rsid w:val="009150E3"/>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9150E3"/>
    <w:rPr>
      <w:rFonts w:ascii="Arial" w:eastAsia="SimSun" w:hAnsi="Arial" w:cs="Arial"/>
      <w:sz w:val="22"/>
      <w:lang w:val="en-US" w:eastAsia="zh-CN"/>
    </w:rPr>
  </w:style>
  <w:style w:type="character" w:customStyle="1" w:styleId="FooterChar">
    <w:name w:val="Footer Char"/>
    <w:basedOn w:val="DefaultParagraphFont"/>
    <w:link w:val="Footer"/>
    <w:semiHidden/>
    <w:rsid w:val="009150E3"/>
    <w:rPr>
      <w:rFonts w:ascii="Arial" w:eastAsia="SimSun" w:hAnsi="Arial" w:cs="Arial"/>
      <w:sz w:val="22"/>
      <w:lang w:val="en-US" w:eastAsia="zh-CN"/>
    </w:rPr>
  </w:style>
  <w:style w:type="character" w:customStyle="1" w:styleId="HeaderChar">
    <w:name w:val="Header Char"/>
    <w:basedOn w:val="DefaultParagraphFont"/>
    <w:link w:val="Header"/>
    <w:uiPriority w:val="99"/>
    <w:rsid w:val="009150E3"/>
    <w:rPr>
      <w:rFonts w:ascii="Arial" w:eastAsia="SimSun" w:hAnsi="Arial" w:cs="Arial"/>
      <w:sz w:val="22"/>
      <w:lang w:val="en-US" w:eastAsia="zh-CN"/>
    </w:rPr>
  </w:style>
  <w:style w:type="character" w:customStyle="1" w:styleId="ONUMEChar">
    <w:name w:val="ONUM E Char"/>
    <w:link w:val="ONUME"/>
    <w:rsid w:val="009150E3"/>
    <w:rPr>
      <w:rFonts w:ascii="Arial" w:eastAsia="SimSun" w:hAnsi="Arial" w:cs="Arial"/>
      <w:sz w:val="22"/>
      <w:lang w:val="en-US" w:eastAsia="zh-CN"/>
    </w:rPr>
  </w:style>
  <w:style w:type="table" w:styleId="TableGrid">
    <w:name w:val="Table Grid"/>
    <w:basedOn w:val="TableNormal"/>
    <w:rsid w:val="009150E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2081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6D8DB-80AD-40AE-92B2-F68AC236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3</Pages>
  <Words>831</Words>
  <Characters>4567</Characters>
  <Application>Microsoft Office Word</Application>
  <DocSecurity>0</DocSecurity>
  <Lines>228</Lines>
  <Paragraphs>128</Paragraphs>
  <ScaleCrop>false</ScaleCrop>
  <HeadingPairs>
    <vt:vector size="2" baseType="variant">
      <vt:variant>
        <vt:lpstr>Title</vt:lpstr>
      </vt:variant>
      <vt:variant>
        <vt:i4>1</vt:i4>
      </vt:variant>
    </vt:vector>
  </HeadingPairs>
  <TitlesOfParts>
    <vt:vector size="1" baseType="lpstr">
      <vt:lpstr>CWS/7/25 (in English)</vt:lpstr>
    </vt:vector>
  </TitlesOfParts>
  <Company>WIPO</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CWS/7/25 (in English)</dc:title>
  <dc:subject>PAPI TASK FORCE PROPOSAL FOR A QUESTIONNAIRE ON PROVIDING ACCESS TO PUBLICLY AVAILABLE PATENT INFORMATION</dc:subject>
  <dc:creator>WIPO</dc:creator>
  <cp:keywords>CWS, WIPO</cp:keywords>
  <dc:description/>
  <cp:lastModifiedBy>DRAKE Sophie</cp:lastModifiedBy>
  <cp:revision>11</cp:revision>
  <cp:lastPrinted>2019-05-23T11:41:00Z</cp:lastPrinted>
  <dcterms:created xsi:type="dcterms:W3CDTF">2019-05-06T13:01:00Z</dcterms:created>
  <dcterms:modified xsi:type="dcterms:W3CDTF">2019-05-23T11:41:00Z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