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40746" w:rsidRPr="00B2549D" w14:paraId="23E2BDFA" w14:textId="77777777" w:rsidTr="007B33D4">
        <w:tc>
          <w:tcPr>
            <w:tcW w:w="4513" w:type="dxa"/>
            <w:tcBorders>
              <w:bottom w:val="single" w:sz="4" w:space="0" w:color="auto"/>
            </w:tcBorders>
            <w:tcMar>
              <w:bottom w:w="170" w:type="dxa"/>
            </w:tcMar>
          </w:tcPr>
          <w:p w14:paraId="3AE62A57" w14:textId="77777777" w:rsidR="00440746" w:rsidRPr="00B2549D" w:rsidRDefault="00440746" w:rsidP="007B33D4">
            <w:pPr>
              <w:rPr>
                <w:lang w:val="es-ES"/>
              </w:rPr>
            </w:pPr>
            <w:bookmarkStart w:id="0" w:name="TitleOfDoc"/>
            <w:bookmarkEnd w:id="0"/>
          </w:p>
        </w:tc>
        <w:tc>
          <w:tcPr>
            <w:tcW w:w="4337" w:type="dxa"/>
            <w:tcBorders>
              <w:bottom w:val="single" w:sz="4" w:space="0" w:color="auto"/>
            </w:tcBorders>
            <w:tcMar>
              <w:left w:w="0" w:type="dxa"/>
              <w:right w:w="0" w:type="dxa"/>
            </w:tcMar>
          </w:tcPr>
          <w:p w14:paraId="2AF3224D" w14:textId="77777777" w:rsidR="00440746" w:rsidRPr="00B2549D" w:rsidRDefault="00440746" w:rsidP="007B33D4">
            <w:pPr>
              <w:rPr>
                <w:lang w:val="es-ES"/>
              </w:rPr>
            </w:pPr>
            <w:r w:rsidRPr="00B2549D">
              <w:rPr>
                <w:noProof/>
                <w:lang w:val="de-DE" w:eastAsia="de-DE"/>
              </w:rPr>
              <w:drawing>
                <wp:inline distT="0" distB="0" distL="0" distR="0" wp14:anchorId="7EF1C951" wp14:editId="1CC525C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C779D84" w14:textId="77777777" w:rsidR="00440746" w:rsidRPr="00B2549D" w:rsidRDefault="00440746" w:rsidP="007B33D4">
            <w:pPr>
              <w:jc w:val="right"/>
              <w:rPr>
                <w:lang w:val="es-ES"/>
              </w:rPr>
            </w:pPr>
            <w:r w:rsidRPr="00B2549D">
              <w:rPr>
                <w:b/>
                <w:bCs/>
                <w:sz w:val="40"/>
                <w:szCs w:val="40"/>
                <w:lang w:val="es-ES"/>
              </w:rPr>
              <w:t>S</w:t>
            </w:r>
          </w:p>
        </w:tc>
      </w:tr>
      <w:tr w:rsidR="00440746" w:rsidRPr="00B2549D" w14:paraId="05C36946" w14:textId="77777777" w:rsidTr="007B33D4">
        <w:trPr>
          <w:trHeight w:hRule="exact" w:val="357"/>
        </w:trPr>
        <w:tc>
          <w:tcPr>
            <w:tcW w:w="9356" w:type="dxa"/>
            <w:gridSpan w:val="3"/>
            <w:tcBorders>
              <w:top w:val="single" w:sz="4" w:space="0" w:color="auto"/>
            </w:tcBorders>
            <w:tcMar>
              <w:top w:w="170" w:type="dxa"/>
              <w:left w:w="0" w:type="dxa"/>
              <w:right w:w="0" w:type="dxa"/>
            </w:tcMar>
            <w:vAlign w:val="bottom"/>
          </w:tcPr>
          <w:p w14:paraId="4C9EDE4F" w14:textId="0E28846A" w:rsidR="00440746" w:rsidRPr="00B2549D" w:rsidRDefault="00440746" w:rsidP="00440746">
            <w:pPr>
              <w:jc w:val="right"/>
              <w:rPr>
                <w:rFonts w:ascii="Arial Black" w:hAnsi="Arial Black"/>
                <w:caps/>
                <w:sz w:val="15"/>
                <w:lang w:val="es-ES"/>
              </w:rPr>
            </w:pPr>
            <w:r w:rsidRPr="00B2549D">
              <w:rPr>
                <w:rFonts w:ascii="Arial Black" w:hAnsi="Arial Black"/>
                <w:caps/>
                <w:sz w:val="15"/>
                <w:lang w:val="es-ES"/>
              </w:rPr>
              <w:t>CWS/7/</w:t>
            </w:r>
            <w:bookmarkStart w:id="1" w:name="Code"/>
            <w:bookmarkEnd w:id="1"/>
            <w:r>
              <w:rPr>
                <w:rFonts w:ascii="Arial Black" w:hAnsi="Arial Black"/>
                <w:caps/>
                <w:sz w:val="15"/>
                <w:lang w:val="es-ES"/>
              </w:rPr>
              <w:t>12</w:t>
            </w:r>
          </w:p>
        </w:tc>
      </w:tr>
      <w:tr w:rsidR="00440746" w:rsidRPr="00B2549D" w14:paraId="06D0C9E5" w14:textId="77777777" w:rsidTr="007B33D4">
        <w:trPr>
          <w:trHeight w:hRule="exact" w:val="170"/>
        </w:trPr>
        <w:tc>
          <w:tcPr>
            <w:tcW w:w="9356" w:type="dxa"/>
            <w:gridSpan w:val="3"/>
            <w:noWrap/>
            <w:tcMar>
              <w:left w:w="0" w:type="dxa"/>
              <w:right w:w="0" w:type="dxa"/>
            </w:tcMar>
            <w:vAlign w:val="bottom"/>
          </w:tcPr>
          <w:p w14:paraId="34AA5D79" w14:textId="77777777" w:rsidR="00440746" w:rsidRPr="00B2549D" w:rsidRDefault="00440746" w:rsidP="007B33D4">
            <w:pPr>
              <w:jc w:val="right"/>
              <w:rPr>
                <w:rFonts w:ascii="Arial Black" w:hAnsi="Arial Black"/>
                <w:caps/>
                <w:sz w:val="15"/>
                <w:lang w:val="es-ES"/>
              </w:rPr>
            </w:pPr>
            <w:r w:rsidRPr="00B2549D">
              <w:rPr>
                <w:rFonts w:ascii="Arial Black" w:hAnsi="Arial Black"/>
                <w:caps/>
                <w:sz w:val="15"/>
                <w:lang w:val="es-ES"/>
              </w:rPr>
              <w:t>ORIGINAL: inglés</w:t>
            </w:r>
            <w:bookmarkStart w:id="2" w:name="Original"/>
            <w:bookmarkEnd w:id="2"/>
            <w:r w:rsidRPr="00B2549D">
              <w:rPr>
                <w:rFonts w:ascii="Arial Black" w:hAnsi="Arial Black"/>
                <w:caps/>
                <w:sz w:val="15"/>
                <w:lang w:val="es-ES"/>
              </w:rPr>
              <w:t xml:space="preserve"> </w:t>
            </w:r>
          </w:p>
        </w:tc>
      </w:tr>
      <w:tr w:rsidR="00440746" w:rsidRPr="00B2549D" w14:paraId="6BF1CD9C" w14:textId="77777777" w:rsidTr="007B33D4">
        <w:trPr>
          <w:trHeight w:hRule="exact" w:val="198"/>
        </w:trPr>
        <w:tc>
          <w:tcPr>
            <w:tcW w:w="9356" w:type="dxa"/>
            <w:gridSpan w:val="3"/>
            <w:tcMar>
              <w:left w:w="0" w:type="dxa"/>
              <w:right w:w="0" w:type="dxa"/>
            </w:tcMar>
            <w:vAlign w:val="bottom"/>
          </w:tcPr>
          <w:p w14:paraId="12DE0EFD" w14:textId="25E7111B" w:rsidR="00440746" w:rsidRPr="00B2549D" w:rsidRDefault="00440746" w:rsidP="00440746">
            <w:pPr>
              <w:jc w:val="right"/>
              <w:rPr>
                <w:rFonts w:ascii="Arial Black" w:hAnsi="Arial Black"/>
                <w:caps/>
                <w:sz w:val="15"/>
                <w:lang w:val="es-ES"/>
              </w:rPr>
            </w:pPr>
            <w:r w:rsidRPr="00B2549D">
              <w:rPr>
                <w:rFonts w:ascii="Arial Black" w:hAnsi="Arial Black"/>
                <w:caps/>
                <w:sz w:val="15"/>
                <w:lang w:val="es-ES"/>
              </w:rPr>
              <w:t xml:space="preserve">fecha: </w:t>
            </w:r>
            <w:r>
              <w:rPr>
                <w:rFonts w:ascii="Arial Black" w:hAnsi="Arial Black"/>
                <w:caps/>
                <w:sz w:val="15"/>
                <w:lang w:val="es-ES"/>
              </w:rPr>
              <w:t>12</w:t>
            </w:r>
            <w:r w:rsidRPr="00B2549D">
              <w:rPr>
                <w:rFonts w:ascii="Arial Black" w:hAnsi="Arial Black"/>
                <w:caps/>
                <w:sz w:val="15"/>
                <w:lang w:val="es-ES"/>
              </w:rPr>
              <w:t xml:space="preserve"> de </w:t>
            </w:r>
            <w:r>
              <w:rPr>
                <w:rFonts w:ascii="Arial Black" w:hAnsi="Arial Black"/>
                <w:caps/>
                <w:sz w:val="15"/>
                <w:lang w:val="es-ES"/>
              </w:rPr>
              <w:t xml:space="preserve">junio </w:t>
            </w:r>
            <w:r w:rsidRPr="00B2549D">
              <w:rPr>
                <w:rFonts w:ascii="Arial Black" w:hAnsi="Arial Black"/>
                <w:caps/>
                <w:sz w:val="15"/>
                <w:lang w:val="es-ES"/>
              </w:rPr>
              <w:t>de</w:t>
            </w:r>
            <w:bookmarkStart w:id="3" w:name="Date"/>
            <w:bookmarkEnd w:id="3"/>
            <w:r w:rsidRPr="00B2549D">
              <w:rPr>
                <w:rFonts w:ascii="Arial Black" w:hAnsi="Arial Black"/>
                <w:caps/>
                <w:sz w:val="15"/>
                <w:lang w:val="es-ES"/>
              </w:rPr>
              <w:t xml:space="preserve"> 2019 </w:t>
            </w:r>
          </w:p>
        </w:tc>
      </w:tr>
    </w:tbl>
    <w:p w14:paraId="3ABC2823" w14:textId="77777777" w:rsidR="001322CF" w:rsidRDefault="001322CF" w:rsidP="00440746">
      <w:pPr>
        <w:rPr>
          <w:lang w:val="es-ES"/>
        </w:rPr>
      </w:pPr>
    </w:p>
    <w:p w14:paraId="5F5C9577" w14:textId="77777777" w:rsidR="001322CF" w:rsidRDefault="001322CF" w:rsidP="00440746">
      <w:pPr>
        <w:rPr>
          <w:lang w:val="es-ES"/>
        </w:rPr>
      </w:pPr>
    </w:p>
    <w:p w14:paraId="7DDECC65" w14:textId="77777777" w:rsidR="001322CF" w:rsidRDefault="001322CF" w:rsidP="00440746">
      <w:pPr>
        <w:rPr>
          <w:lang w:val="es-ES"/>
        </w:rPr>
      </w:pPr>
    </w:p>
    <w:p w14:paraId="67543A8C" w14:textId="77777777" w:rsidR="001322CF" w:rsidRDefault="001322CF" w:rsidP="00440746">
      <w:pPr>
        <w:rPr>
          <w:lang w:val="es-ES"/>
        </w:rPr>
      </w:pPr>
    </w:p>
    <w:p w14:paraId="2556F071" w14:textId="77777777" w:rsidR="001322CF" w:rsidRDefault="001322CF" w:rsidP="00440746">
      <w:pPr>
        <w:rPr>
          <w:lang w:val="es-ES"/>
        </w:rPr>
      </w:pPr>
    </w:p>
    <w:p w14:paraId="6DB09C33" w14:textId="77777777" w:rsidR="001322CF" w:rsidRDefault="00440746" w:rsidP="00440746">
      <w:pPr>
        <w:rPr>
          <w:b/>
          <w:sz w:val="28"/>
          <w:szCs w:val="28"/>
          <w:lang w:val="es-ES"/>
        </w:rPr>
      </w:pPr>
      <w:r w:rsidRPr="00B2549D">
        <w:rPr>
          <w:b/>
          <w:sz w:val="28"/>
          <w:szCs w:val="28"/>
          <w:lang w:val="es-ES"/>
        </w:rPr>
        <w:t>Comité de Normas Técnicas de la OMPI (CWS)</w:t>
      </w:r>
    </w:p>
    <w:p w14:paraId="2B654F75" w14:textId="77777777" w:rsidR="001322CF" w:rsidRDefault="001322CF" w:rsidP="00440746">
      <w:pPr>
        <w:rPr>
          <w:lang w:val="es-ES"/>
        </w:rPr>
      </w:pPr>
    </w:p>
    <w:p w14:paraId="68A609F4" w14:textId="77777777" w:rsidR="001322CF" w:rsidRDefault="001322CF" w:rsidP="00440746">
      <w:pPr>
        <w:rPr>
          <w:lang w:val="es-ES"/>
        </w:rPr>
      </w:pPr>
    </w:p>
    <w:p w14:paraId="48D66796" w14:textId="77777777" w:rsidR="001322CF" w:rsidRDefault="00440746" w:rsidP="00440746">
      <w:pPr>
        <w:rPr>
          <w:b/>
          <w:sz w:val="24"/>
          <w:szCs w:val="24"/>
          <w:lang w:val="es-ES"/>
        </w:rPr>
      </w:pPr>
      <w:r w:rsidRPr="00B2549D">
        <w:rPr>
          <w:b/>
          <w:sz w:val="24"/>
          <w:szCs w:val="24"/>
          <w:lang w:val="es-ES"/>
        </w:rPr>
        <w:t>Séptima sesión</w:t>
      </w:r>
    </w:p>
    <w:p w14:paraId="0A024375" w14:textId="77777777" w:rsidR="001322CF" w:rsidRDefault="00440746" w:rsidP="00440746">
      <w:pPr>
        <w:rPr>
          <w:b/>
          <w:sz w:val="24"/>
          <w:szCs w:val="24"/>
          <w:lang w:val="es-ES"/>
        </w:rPr>
      </w:pPr>
      <w:r w:rsidRPr="00B2549D">
        <w:rPr>
          <w:b/>
          <w:sz w:val="24"/>
          <w:szCs w:val="24"/>
          <w:lang w:val="es-ES"/>
        </w:rPr>
        <w:t>Ginebra, 1 a 5 de julio de 2019</w:t>
      </w:r>
    </w:p>
    <w:p w14:paraId="13E29DB3" w14:textId="77777777" w:rsidR="001322CF" w:rsidRDefault="001322CF" w:rsidP="00440746">
      <w:pPr>
        <w:rPr>
          <w:lang w:val="es-ES"/>
        </w:rPr>
      </w:pPr>
    </w:p>
    <w:p w14:paraId="77C8865C" w14:textId="77777777" w:rsidR="001322CF" w:rsidRDefault="001322CF" w:rsidP="00440746">
      <w:pPr>
        <w:rPr>
          <w:lang w:val="es-ES"/>
        </w:rPr>
      </w:pPr>
    </w:p>
    <w:p w14:paraId="62D76950" w14:textId="77777777" w:rsidR="001322CF" w:rsidRDefault="001322CF" w:rsidP="00440746">
      <w:pPr>
        <w:rPr>
          <w:lang w:val="es-ES"/>
        </w:rPr>
      </w:pPr>
    </w:p>
    <w:p w14:paraId="1E299862" w14:textId="68EFF824" w:rsidR="001322CF" w:rsidRDefault="00C76B32" w:rsidP="00711378">
      <w:pPr>
        <w:rPr>
          <w:caps/>
          <w:sz w:val="24"/>
          <w:szCs w:val="24"/>
          <w:lang w:val="es-ES"/>
        </w:rPr>
      </w:pPr>
      <w:bookmarkStart w:id="4" w:name="_GoBack"/>
      <w:r>
        <w:rPr>
          <w:caps/>
          <w:sz w:val="24"/>
          <w:szCs w:val="24"/>
          <w:lang w:val="es-ES"/>
        </w:rPr>
        <w:t>RevisiÓN DE LA NORMA</w:t>
      </w:r>
      <w:r w:rsidR="009A0DB4" w:rsidRPr="00440746">
        <w:rPr>
          <w:caps/>
          <w:sz w:val="24"/>
          <w:szCs w:val="24"/>
          <w:lang w:val="es-ES"/>
        </w:rPr>
        <w:t xml:space="preserve"> ST.27</w:t>
      </w:r>
      <w:r>
        <w:rPr>
          <w:caps/>
          <w:sz w:val="24"/>
          <w:szCs w:val="24"/>
          <w:lang w:val="es-ES"/>
        </w:rPr>
        <w:t xml:space="preserve"> DE LA OMPI</w:t>
      </w:r>
    </w:p>
    <w:bookmarkEnd w:id="4"/>
    <w:p w14:paraId="3CC7BB26" w14:textId="77777777" w:rsidR="001322CF" w:rsidRDefault="001322CF" w:rsidP="00711378">
      <w:pPr>
        <w:rPr>
          <w:szCs w:val="22"/>
          <w:lang w:val="es-ES"/>
        </w:rPr>
      </w:pPr>
    </w:p>
    <w:p w14:paraId="61B01CC7" w14:textId="77777777" w:rsidR="001322CF" w:rsidRDefault="00F9539B" w:rsidP="00711378">
      <w:pPr>
        <w:rPr>
          <w:i/>
          <w:szCs w:val="22"/>
          <w:lang w:val="es-ES"/>
        </w:rPr>
      </w:pPr>
      <w:bookmarkStart w:id="5" w:name="Prepared"/>
      <w:bookmarkEnd w:id="5"/>
      <w:r w:rsidRPr="00440746">
        <w:rPr>
          <w:i/>
          <w:szCs w:val="22"/>
          <w:lang w:val="es-ES"/>
        </w:rPr>
        <w:t>Document</w:t>
      </w:r>
      <w:r w:rsidR="00FF7756">
        <w:rPr>
          <w:i/>
          <w:szCs w:val="22"/>
          <w:lang w:val="es-ES"/>
        </w:rPr>
        <w:t>o preparado por la Oficina Internacional</w:t>
      </w:r>
    </w:p>
    <w:p w14:paraId="3C4CF9C6" w14:textId="77777777" w:rsidR="001322CF" w:rsidRDefault="001322CF" w:rsidP="00711378">
      <w:pPr>
        <w:rPr>
          <w:szCs w:val="22"/>
          <w:lang w:val="es-ES"/>
        </w:rPr>
      </w:pPr>
    </w:p>
    <w:p w14:paraId="701707F4" w14:textId="77777777" w:rsidR="001322CF" w:rsidRDefault="001322CF" w:rsidP="00711378">
      <w:pPr>
        <w:rPr>
          <w:szCs w:val="22"/>
          <w:lang w:val="es-ES"/>
        </w:rPr>
      </w:pPr>
    </w:p>
    <w:p w14:paraId="3E99127A" w14:textId="77777777" w:rsidR="001322CF" w:rsidRDefault="001322CF" w:rsidP="00711378">
      <w:pPr>
        <w:rPr>
          <w:szCs w:val="22"/>
          <w:lang w:val="es-ES"/>
        </w:rPr>
      </w:pPr>
    </w:p>
    <w:p w14:paraId="1166AF76" w14:textId="77777777" w:rsidR="001322CF" w:rsidRDefault="001322CF" w:rsidP="00711378">
      <w:pPr>
        <w:rPr>
          <w:szCs w:val="22"/>
          <w:lang w:val="es-ES"/>
        </w:rPr>
      </w:pPr>
    </w:p>
    <w:p w14:paraId="2B65ECE1" w14:textId="77777777" w:rsidR="001322CF" w:rsidRDefault="001322CF" w:rsidP="00711378">
      <w:pPr>
        <w:rPr>
          <w:szCs w:val="22"/>
          <w:lang w:val="es-ES"/>
        </w:rPr>
      </w:pPr>
    </w:p>
    <w:p w14:paraId="46976953" w14:textId="77777777" w:rsidR="001322CF" w:rsidRDefault="00FF7756" w:rsidP="00711378">
      <w:pPr>
        <w:pStyle w:val="Heading2"/>
        <w:spacing w:before="0"/>
        <w:rPr>
          <w:szCs w:val="22"/>
          <w:lang w:val="es-ES"/>
        </w:rPr>
      </w:pPr>
      <w:r>
        <w:rPr>
          <w:caps w:val="0"/>
          <w:szCs w:val="22"/>
          <w:lang w:val="es-ES"/>
        </w:rPr>
        <w:t>INTRODUCCIÓ</w:t>
      </w:r>
      <w:r w:rsidR="00FC7AE8" w:rsidRPr="00440746">
        <w:rPr>
          <w:caps w:val="0"/>
          <w:szCs w:val="22"/>
          <w:lang w:val="es-ES"/>
        </w:rPr>
        <w:t>N</w:t>
      </w:r>
    </w:p>
    <w:p w14:paraId="139568C3" w14:textId="756AEEE0" w:rsidR="001322CF" w:rsidRDefault="001322CF" w:rsidP="006F2677">
      <w:pPr>
        <w:numPr>
          <w:ilvl w:val="0"/>
          <w:numId w:val="5"/>
        </w:numPr>
        <w:tabs>
          <w:tab w:val="clear" w:pos="567"/>
        </w:tabs>
        <w:spacing w:after="220"/>
        <w:rPr>
          <w:szCs w:val="22"/>
          <w:lang w:val="es-ES"/>
        </w:rPr>
      </w:pPr>
      <w:r w:rsidRPr="001322CF">
        <w:rPr>
          <w:szCs w:val="22"/>
          <w:lang w:val="es-ES_tradnl"/>
        </w:rPr>
        <w:t xml:space="preserve">En su sexta sesión, celebrada en 2018, el Comité de Normas Técnicas de la OMPI (CWS) aprobó la versión 1.1 </w:t>
      </w:r>
      <w:r w:rsidR="003C026E">
        <w:rPr>
          <w:szCs w:val="22"/>
          <w:lang w:val="es-ES_tradnl"/>
        </w:rPr>
        <w:t xml:space="preserve">revisada </w:t>
      </w:r>
      <w:r w:rsidRPr="001322CF">
        <w:rPr>
          <w:szCs w:val="22"/>
          <w:lang w:val="es-ES_tradnl"/>
        </w:rPr>
        <w:t>de la Norma ST.27 de la OMPI y el nuevo Anexo</w:t>
      </w:r>
      <w:r w:rsidR="003C026E">
        <w:rPr>
          <w:szCs w:val="22"/>
          <w:lang w:val="es-ES_tradnl"/>
        </w:rPr>
        <w:t> </w:t>
      </w:r>
      <w:r w:rsidRPr="001322CF">
        <w:rPr>
          <w:szCs w:val="22"/>
          <w:lang w:val="es-ES_tradnl"/>
        </w:rPr>
        <w:t xml:space="preserve">V de la Norma ST. 27 </w:t>
      </w:r>
      <w:r w:rsidR="003C026E">
        <w:rPr>
          <w:szCs w:val="22"/>
          <w:lang w:val="es-ES_tradnl"/>
        </w:rPr>
        <w:t>“</w:t>
      </w:r>
      <w:r w:rsidRPr="001322CF">
        <w:rPr>
          <w:szCs w:val="22"/>
          <w:lang w:val="es-ES_tradnl"/>
        </w:rPr>
        <w:t>Documento de orientación</w:t>
      </w:r>
      <w:r w:rsidR="003C026E">
        <w:rPr>
          <w:szCs w:val="22"/>
          <w:lang w:val="es-ES_tradnl"/>
        </w:rPr>
        <w:t>”</w:t>
      </w:r>
      <w:r w:rsidRPr="001322CF">
        <w:rPr>
          <w:szCs w:val="22"/>
          <w:lang w:val="es-ES_tradnl"/>
        </w:rPr>
        <w:t xml:space="preserve"> en forma provisional.</w:t>
      </w:r>
      <w:r w:rsidR="00D05455" w:rsidRPr="00440746">
        <w:rPr>
          <w:szCs w:val="22"/>
          <w:lang w:val="es-ES"/>
        </w:rPr>
        <w:t xml:space="preserve"> </w:t>
      </w:r>
      <w:r w:rsidR="006F2677" w:rsidRPr="006F2677">
        <w:rPr>
          <w:szCs w:val="22"/>
          <w:lang w:val="es-ES_tradnl"/>
        </w:rPr>
        <w:t xml:space="preserve">Entre los cambios introducidos </w:t>
      </w:r>
      <w:r w:rsidR="003C026E">
        <w:rPr>
          <w:szCs w:val="22"/>
          <w:lang w:val="es-ES_tradnl"/>
        </w:rPr>
        <w:t>figura</w:t>
      </w:r>
      <w:r w:rsidR="00B73AED">
        <w:rPr>
          <w:szCs w:val="22"/>
          <w:lang w:val="es-ES_tradnl"/>
        </w:rPr>
        <w:t>ba</w:t>
      </w:r>
      <w:r w:rsidR="003C026E">
        <w:rPr>
          <w:szCs w:val="22"/>
          <w:lang w:val="es-ES_tradnl"/>
        </w:rPr>
        <w:t xml:space="preserve">n </w:t>
      </w:r>
      <w:r w:rsidR="006F2677" w:rsidRPr="006F2677">
        <w:rPr>
          <w:szCs w:val="22"/>
          <w:lang w:val="es-ES_tradnl"/>
        </w:rPr>
        <w:t xml:space="preserve">la modificación de las incidencias relacionadas con el pago de las tasas de mantenimiento y </w:t>
      </w:r>
      <w:r w:rsidR="003C026E">
        <w:rPr>
          <w:szCs w:val="22"/>
          <w:lang w:val="es-ES_tradnl"/>
        </w:rPr>
        <w:t xml:space="preserve">la </w:t>
      </w:r>
      <w:r w:rsidR="006F2677" w:rsidRPr="006F2677">
        <w:rPr>
          <w:szCs w:val="22"/>
          <w:lang w:val="es-ES_tradnl"/>
        </w:rPr>
        <w:t xml:space="preserve">mejora de las descripciones de las incidencias relativas al cambio de nombre y </w:t>
      </w:r>
      <w:r w:rsidR="00B73AED">
        <w:rPr>
          <w:szCs w:val="22"/>
          <w:lang w:val="es-ES_tradnl"/>
        </w:rPr>
        <w:t xml:space="preserve">la </w:t>
      </w:r>
      <w:r w:rsidR="006F2677" w:rsidRPr="006F2677">
        <w:rPr>
          <w:szCs w:val="22"/>
          <w:lang w:val="es-ES_tradnl"/>
        </w:rPr>
        <w:t>transferencia de titularidad.</w:t>
      </w:r>
      <w:r w:rsidR="00D05455" w:rsidRPr="00440746">
        <w:rPr>
          <w:szCs w:val="22"/>
          <w:lang w:val="es-ES"/>
        </w:rPr>
        <w:t xml:space="preserve"> </w:t>
      </w:r>
      <w:r w:rsidR="006F2677" w:rsidRPr="006F2677">
        <w:rPr>
          <w:szCs w:val="22"/>
          <w:lang w:val="es-ES_tradnl"/>
        </w:rPr>
        <w:t>Se remitieron otras propuestas al Equipo Técnico de la Situación Jurídica para que las examinara más a fondo (véanse los párrafos 74 a 86 del documento CWS/6/34).</w:t>
      </w:r>
    </w:p>
    <w:p w14:paraId="77500628" w14:textId="70DD0D1A" w:rsidR="001322CF" w:rsidRDefault="006F2677" w:rsidP="006F2677">
      <w:pPr>
        <w:numPr>
          <w:ilvl w:val="0"/>
          <w:numId w:val="5"/>
        </w:numPr>
        <w:tabs>
          <w:tab w:val="clear" w:pos="567"/>
        </w:tabs>
        <w:spacing w:after="220"/>
        <w:rPr>
          <w:szCs w:val="22"/>
          <w:lang w:val="es-ES"/>
        </w:rPr>
      </w:pPr>
      <w:r w:rsidRPr="006F2677">
        <w:rPr>
          <w:szCs w:val="22"/>
          <w:lang w:val="es-ES_tradnl"/>
        </w:rPr>
        <w:t xml:space="preserve">En su sexta sesión, el Comité </w:t>
      </w:r>
      <w:r w:rsidR="003C026E">
        <w:rPr>
          <w:szCs w:val="22"/>
          <w:lang w:val="es-ES_tradnl"/>
        </w:rPr>
        <w:t>también revisó</w:t>
      </w:r>
      <w:r w:rsidRPr="006F2677">
        <w:rPr>
          <w:szCs w:val="22"/>
          <w:lang w:val="es-ES_tradnl"/>
        </w:rPr>
        <w:t xml:space="preserve"> </w:t>
      </w:r>
      <w:r w:rsidR="003C026E">
        <w:rPr>
          <w:szCs w:val="22"/>
          <w:lang w:val="es-ES_tradnl"/>
        </w:rPr>
        <w:t xml:space="preserve">la descripción de la Tarea N.º </w:t>
      </w:r>
      <w:r w:rsidRPr="006F2677">
        <w:rPr>
          <w:szCs w:val="22"/>
          <w:lang w:val="es-ES_tradnl"/>
        </w:rPr>
        <w:t>47 de la manera siguiente: “Preparar una propuesta definitiva sobre las incidencias detalladas y una propuesta definitiva sobre el documento de orientación con respecto a los datos sobre la situación jurídica de las patentes; preparar una propuesta definitiva de documento de orientación con respecto a la situación jurídica de los dibujos y modelos industriales; preparar una recomendación para el intercambio de datos sobre la situación jurídica de las marcas entre oficinas de la propiedad industrial” (véase el párr</w:t>
      </w:r>
      <w:r w:rsidR="003C026E">
        <w:rPr>
          <w:szCs w:val="22"/>
          <w:lang w:val="es-ES_tradnl"/>
        </w:rPr>
        <w:t>afo 73 del documento CWS/6/34).</w:t>
      </w:r>
    </w:p>
    <w:p w14:paraId="7E1764B3" w14:textId="74D051B8" w:rsidR="001322CF" w:rsidRDefault="006F2677" w:rsidP="006F2677">
      <w:pPr>
        <w:pStyle w:val="Heading2"/>
        <w:rPr>
          <w:caps w:val="0"/>
          <w:szCs w:val="22"/>
          <w:lang w:val="es-ES"/>
        </w:rPr>
      </w:pPr>
      <w:r w:rsidRPr="006F2677">
        <w:rPr>
          <w:caps w:val="0"/>
          <w:szCs w:val="22"/>
          <w:lang w:val="es-ES_tradnl"/>
        </w:rPr>
        <w:t>PROPUESTA DE REVISIÓN DE LA NORMA ST.27</w:t>
      </w:r>
    </w:p>
    <w:p w14:paraId="4283FA98" w14:textId="1CAE81F0" w:rsidR="001322CF" w:rsidRDefault="006F2677" w:rsidP="006F2677">
      <w:pPr>
        <w:numPr>
          <w:ilvl w:val="0"/>
          <w:numId w:val="5"/>
        </w:numPr>
        <w:tabs>
          <w:tab w:val="clear" w:pos="567"/>
        </w:tabs>
        <w:spacing w:after="220"/>
        <w:rPr>
          <w:szCs w:val="22"/>
          <w:lang w:val="es-ES"/>
        </w:rPr>
      </w:pPr>
      <w:r w:rsidRPr="006F2677">
        <w:rPr>
          <w:szCs w:val="22"/>
          <w:lang w:val="es-ES_tradnl"/>
        </w:rPr>
        <w:t xml:space="preserve">En el marco de la Tarea N.º 47, el Equipo Técnico de la Situación Jurídica (LSTF) preparó una propuesta de revisión de la Norma ST.27 de la OMPI, en concreto la actualización de la lista de incidencias detalladas y la adición de un nuevo anexo con ejemplos de </w:t>
      </w:r>
      <w:r w:rsidR="0077453A">
        <w:rPr>
          <w:szCs w:val="22"/>
          <w:lang w:val="es-ES_tradnl"/>
        </w:rPr>
        <w:t>casos</w:t>
      </w:r>
      <w:r w:rsidRPr="006F2677">
        <w:rPr>
          <w:szCs w:val="22"/>
          <w:lang w:val="es-ES_tradnl"/>
        </w:rPr>
        <w:t xml:space="preserve"> </w:t>
      </w:r>
      <w:r w:rsidR="00A54719">
        <w:rPr>
          <w:szCs w:val="22"/>
          <w:lang w:val="es-ES_tradnl"/>
        </w:rPr>
        <w:t>frecuentes</w:t>
      </w:r>
      <w:r w:rsidRPr="006F2677">
        <w:rPr>
          <w:szCs w:val="22"/>
          <w:lang w:val="es-ES_tradnl"/>
        </w:rPr>
        <w:t>.</w:t>
      </w:r>
      <w:r w:rsidR="0077453A">
        <w:rPr>
          <w:szCs w:val="22"/>
          <w:lang w:val="es-ES"/>
        </w:rPr>
        <w:t xml:space="preserve"> </w:t>
      </w:r>
      <w:r w:rsidRPr="006F2677">
        <w:rPr>
          <w:szCs w:val="22"/>
          <w:lang w:val="es-ES_tradnl"/>
        </w:rPr>
        <w:t xml:space="preserve">El Equipo Técnico también examinó las propuestas </w:t>
      </w:r>
      <w:r w:rsidR="0077453A">
        <w:rPr>
          <w:szCs w:val="22"/>
          <w:lang w:val="es-ES_tradnl"/>
        </w:rPr>
        <w:t xml:space="preserve">que le remitió </w:t>
      </w:r>
      <w:r w:rsidRPr="006F2677">
        <w:rPr>
          <w:szCs w:val="22"/>
          <w:lang w:val="es-ES_tradnl"/>
        </w:rPr>
        <w:t>el CWS en el párrafo 1.</w:t>
      </w:r>
    </w:p>
    <w:p w14:paraId="6DE19199" w14:textId="664F0DAE" w:rsidR="001322CF" w:rsidRDefault="006F2677" w:rsidP="006F2677">
      <w:pPr>
        <w:keepNext/>
        <w:keepLines/>
        <w:spacing w:after="120"/>
        <w:rPr>
          <w:szCs w:val="22"/>
          <w:lang w:val="es-ES"/>
        </w:rPr>
      </w:pPr>
      <w:r w:rsidRPr="006F2677">
        <w:rPr>
          <w:szCs w:val="22"/>
          <w:lang w:val="es-ES_tradnl"/>
        </w:rPr>
        <w:lastRenderedPageBreak/>
        <w:t>CAMBIOS EN LA LISTA DE INCIDENCIAS (ANEXO I DE LA NORMA ST.27 DE LA OMPI)</w:t>
      </w:r>
    </w:p>
    <w:p w14:paraId="44AB7AF3" w14:textId="279DD65C" w:rsidR="001322CF" w:rsidRDefault="006F2677" w:rsidP="006F2677">
      <w:pPr>
        <w:keepLines/>
        <w:numPr>
          <w:ilvl w:val="0"/>
          <w:numId w:val="5"/>
        </w:numPr>
        <w:tabs>
          <w:tab w:val="clear" w:pos="567"/>
        </w:tabs>
        <w:spacing w:after="120"/>
        <w:rPr>
          <w:szCs w:val="22"/>
          <w:lang w:val="es-ES"/>
        </w:rPr>
      </w:pPr>
      <w:r w:rsidRPr="006F2677">
        <w:rPr>
          <w:szCs w:val="22"/>
          <w:lang w:val="es-ES_tradnl"/>
        </w:rPr>
        <w:t>En respuesta a la propuesta de un</w:t>
      </w:r>
      <w:r w:rsidR="0077453A">
        <w:rPr>
          <w:szCs w:val="22"/>
          <w:lang w:val="es-ES_tradnl"/>
        </w:rPr>
        <w:t>a</w:t>
      </w:r>
      <w:r w:rsidRPr="006F2677">
        <w:rPr>
          <w:szCs w:val="22"/>
          <w:lang w:val="es-ES_tradnl"/>
        </w:rPr>
        <w:t xml:space="preserve"> nuev</w:t>
      </w:r>
      <w:r w:rsidR="0077453A">
        <w:rPr>
          <w:szCs w:val="22"/>
          <w:lang w:val="es-ES_tradnl"/>
        </w:rPr>
        <w:t>a incidencia relativa a las “</w:t>
      </w:r>
      <w:r w:rsidRPr="006F2677">
        <w:rPr>
          <w:szCs w:val="22"/>
          <w:lang w:val="es-ES_tradnl"/>
        </w:rPr>
        <w:t>patentes de adición</w:t>
      </w:r>
      <w:r w:rsidR="0077453A">
        <w:rPr>
          <w:szCs w:val="22"/>
          <w:lang w:val="es-ES_tradnl"/>
        </w:rPr>
        <w:t>”</w:t>
      </w:r>
      <w:r w:rsidRPr="006F2677">
        <w:rPr>
          <w:szCs w:val="22"/>
          <w:lang w:val="es-ES_tradnl"/>
        </w:rPr>
        <w:t xml:space="preserve">, el Equipo Técnico consideró que las patentes de adición ya estaban </w:t>
      </w:r>
      <w:r w:rsidR="0077453A">
        <w:rPr>
          <w:szCs w:val="22"/>
          <w:lang w:val="es-ES_tradnl"/>
        </w:rPr>
        <w:t xml:space="preserve">comprendidas en las incidencias </w:t>
      </w:r>
      <w:r w:rsidRPr="006F2677">
        <w:rPr>
          <w:szCs w:val="22"/>
          <w:lang w:val="es-ES_tradnl"/>
        </w:rPr>
        <w:t>existentes.</w:t>
      </w:r>
      <w:r w:rsidR="0077453A">
        <w:rPr>
          <w:szCs w:val="22"/>
          <w:lang w:val="es-ES"/>
        </w:rPr>
        <w:t xml:space="preserve"> </w:t>
      </w:r>
      <w:r w:rsidRPr="006F2677">
        <w:rPr>
          <w:szCs w:val="22"/>
          <w:lang w:val="es-ES_tradnl"/>
        </w:rPr>
        <w:t xml:space="preserve">Las patentes de adición son un tipo de patente concedida por algunas </w:t>
      </w:r>
      <w:r w:rsidR="0077453A">
        <w:rPr>
          <w:szCs w:val="22"/>
          <w:lang w:val="es-ES_tradnl"/>
        </w:rPr>
        <w:t>O</w:t>
      </w:r>
      <w:r w:rsidRPr="006F2677">
        <w:rPr>
          <w:szCs w:val="22"/>
          <w:lang w:val="es-ES_tradnl"/>
        </w:rPr>
        <w:t>ficinas de propiedad intelectual (OPI).</w:t>
      </w:r>
      <w:r w:rsidR="0077453A">
        <w:rPr>
          <w:szCs w:val="22"/>
          <w:lang w:val="es-ES"/>
        </w:rPr>
        <w:t xml:space="preserve"> </w:t>
      </w:r>
      <w:r w:rsidRPr="006F2677">
        <w:rPr>
          <w:szCs w:val="22"/>
          <w:lang w:val="es-ES_tradnl"/>
        </w:rPr>
        <w:t>El Equipo Técnico propone actualizar la descripción de algunas categorías de la Norma ST.27 para aclarar el alcance de los tipos de solicitud y los tipos de derechos de PI abarcados.</w:t>
      </w:r>
      <w:r w:rsidR="0077453A">
        <w:rPr>
          <w:szCs w:val="22"/>
          <w:lang w:val="es-ES"/>
        </w:rPr>
        <w:t xml:space="preserve"> </w:t>
      </w:r>
      <w:r w:rsidRPr="006F2677">
        <w:rPr>
          <w:szCs w:val="22"/>
          <w:lang w:val="es-ES_tradnl"/>
        </w:rPr>
        <w:t>Se proponen las siguientes modificaciones de las categorías A y F, con otras categoría</w:t>
      </w:r>
      <w:r w:rsidR="00B73AED">
        <w:rPr>
          <w:szCs w:val="22"/>
          <w:lang w:val="es-ES_tradnl"/>
        </w:rPr>
        <w:t>s que hagan referencia a</w:t>
      </w:r>
      <w:r w:rsidRPr="006F2677">
        <w:rPr>
          <w:szCs w:val="22"/>
          <w:lang w:val="es-ES_tradnl"/>
        </w:rPr>
        <w:t xml:space="preserve"> </w:t>
      </w:r>
      <w:r w:rsidR="00B73AED">
        <w:rPr>
          <w:szCs w:val="22"/>
          <w:lang w:val="es-ES_tradnl"/>
        </w:rPr>
        <w:t xml:space="preserve">la </w:t>
      </w:r>
      <w:r w:rsidRPr="006F2677">
        <w:rPr>
          <w:szCs w:val="22"/>
          <w:lang w:val="es-ES_tradnl"/>
        </w:rPr>
        <w:t xml:space="preserve">A o </w:t>
      </w:r>
      <w:r w:rsidR="00B73AED">
        <w:rPr>
          <w:szCs w:val="22"/>
          <w:lang w:val="es-ES_tradnl"/>
        </w:rPr>
        <w:t xml:space="preserve">a la </w:t>
      </w:r>
      <w:r w:rsidRPr="006F2677">
        <w:rPr>
          <w:szCs w:val="22"/>
          <w:lang w:val="es-ES_tradnl"/>
        </w:rPr>
        <w:t>F según proceda (</w:t>
      </w:r>
      <w:r w:rsidR="0077453A">
        <w:rPr>
          <w:szCs w:val="22"/>
          <w:lang w:val="es-ES_tradnl"/>
        </w:rPr>
        <w:t xml:space="preserve">se indican </w:t>
      </w:r>
      <w:r w:rsidRPr="006F2677">
        <w:rPr>
          <w:szCs w:val="22"/>
          <w:lang w:val="es-ES_tradnl"/>
        </w:rPr>
        <w:t xml:space="preserve">los cambios </w:t>
      </w:r>
      <w:r w:rsidR="0077453A">
        <w:rPr>
          <w:szCs w:val="22"/>
          <w:lang w:val="es-ES_tradnl"/>
        </w:rPr>
        <w:t xml:space="preserve">efectuados </w:t>
      </w:r>
      <w:r w:rsidR="00B73AED">
        <w:rPr>
          <w:szCs w:val="22"/>
          <w:lang w:val="es-ES_tradnl"/>
        </w:rPr>
        <w:t>en comparación con la versión 1.</w:t>
      </w:r>
      <w:r w:rsidRPr="006F2677">
        <w:rPr>
          <w:szCs w:val="22"/>
          <w:lang w:val="es-ES_tradnl"/>
        </w:rPr>
        <w:t>1, publicada en noviembre de 2018):</w:t>
      </w:r>
    </w:p>
    <w:p w14:paraId="54230CC9" w14:textId="7395D23E" w:rsidR="001322CF" w:rsidRDefault="006F2677" w:rsidP="006F2677">
      <w:pPr>
        <w:spacing w:after="120"/>
        <w:ind w:left="562"/>
        <w:rPr>
          <w:szCs w:val="22"/>
          <w:lang w:val="es-ES"/>
        </w:rPr>
      </w:pPr>
      <w:r w:rsidRPr="0077453A">
        <w:rPr>
          <w:b/>
          <w:bCs/>
          <w:szCs w:val="22"/>
          <w:lang w:val="es-ES_tradnl"/>
        </w:rPr>
        <w:t>A</w:t>
      </w:r>
      <w:r w:rsidR="0077453A" w:rsidRPr="0077453A">
        <w:rPr>
          <w:b/>
          <w:bCs/>
          <w:szCs w:val="22"/>
          <w:lang w:val="es-ES_tradnl"/>
        </w:rPr>
        <w:t>.</w:t>
      </w:r>
      <w:r w:rsidR="0077453A" w:rsidRPr="0077453A">
        <w:rPr>
          <w:b/>
          <w:bCs/>
          <w:szCs w:val="22"/>
          <w:lang w:val="es-ES_tradnl"/>
        </w:rPr>
        <w:tab/>
      </w:r>
      <w:r w:rsidRPr="0077453A">
        <w:rPr>
          <w:b/>
          <w:bCs/>
          <w:szCs w:val="22"/>
          <w:lang w:val="es-ES_tradnl"/>
        </w:rPr>
        <w:t>Presentación de la solicitud:</w:t>
      </w:r>
      <w:r w:rsidRPr="006F2677">
        <w:rPr>
          <w:szCs w:val="22"/>
          <w:lang w:val="es-ES_tradnl"/>
        </w:rPr>
        <w:t xml:space="preserve">  </w:t>
      </w:r>
      <w:r w:rsidR="009773C4" w:rsidRPr="009773C4">
        <w:rPr>
          <w:szCs w:val="22"/>
          <w:lang w:val="es-ES"/>
        </w:rPr>
        <w:t xml:space="preserve">esta categoría se compone de un grupo de incidencias relacionadas con la presentación de </w:t>
      </w:r>
      <w:r w:rsidR="009773C4" w:rsidRPr="002B5A49">
        <w:rPr>
          <w:strike/>
          <w:szCs w:val="22"/>
          <w:lang w:val="es-ES"/>
        </w:rPr>
        <w:t>una solicitud</w:t>
      </w:r>
      <w:r w:rsidR="002B5A49">
        <w:rPr>
          <w:szCs w:val="22"/>
          <w:lang w:val="es-ES"/>
        </w:rPr>
        <w:t xml:space="preserve"> </w:t>
      </w:r>
      <w:r w:rsidR="002B5A49" w:rsidRPr="002B5A49">
        <w:rPr>
          <w:szCs w:val="22"/>
          <w:u w:val="single"/>
          <w:lang w:val="es-ES"/>
        </w:rPr>
        <w:t>varios tipos de solicitudes de derechos de PI</w:t>
      </w:r>
      <w:r w:rsidR="002B5A49">
        <w:rPr>
          <w:szCs w:val="22"/>
          <w:lang w:val="es-ES"/>
        </w:rPr>
        <w:t>.</w:t>
      </w:r>
      <w:r w:rsidR="009773C4" w:rsidRPr="009773C4">
        <w:rPr>
          <w:szCs w:val="22"/>
          <w:lang w:val="es-ES"/>
        </w:rPr>
        <w:t xml:space="preserve"> Incluye, por ejemplo, la recepción en una OPI nacional o regional de una solicitud para la concesión de un derecho de PI junto con documentación adicional y las tasas necesarias para obtener una fecha de presentación en virtud de la legislación o convenio nacional o regional, o del Tratado de Cooperación en materia de Patentes (PCT), según proceda. </w:t>
      </w:r>
      <w:r w:rsidR="00CD7E53" w:rsidRPr="009F20C3">
        <w:rPr>
          <w:szCs w:val="22"/>
          <w:u w:val="single"/>
          <w:lang w:val="es-ES"/>
        </w:rPr>
        <w:t>Los tipos de solicitudes compre</w:t>
      </w:r>
      <w:r w:rsidR="00E56C57">
        <w:rPr>
          <w:szCs w:val="22"/>
          <w:u w:val="single"/>
          <w:lang w:val="es-ES"/>
        </w:rPr>
        <w:t>ndida</w:t>
      </w:r>
      <w:r w:rsidR="00CD7E53" w:rsidRPr="009F20C3">
        <w:rPr>
          <w:szCs w:val="22"/>
          <w:u w:val="single"/>
          <w:lang w:val="es-ES"/>
        </w:rPr>
        <w:t>s incl</w:t>
      </w:r>
      <w:r w:rsidR="00B73AED">
        <w:rPr>
          <w:szCs w:val="22"/>
          <w:u w:val="single"/>
          <w:lang w:val="es-ES"/>
        </w:rPr>
        <w:t>uyen las patentes de invención</w:t>
      </w:r>
      <w:r w:rsidR="00CD7E53" w:rsidRPr="009F20C3">
        <w:rPr>
          <w:szCs w:val="22"/>
          <w:u w:val="single"/>
          <w:lang w:val="es-ES"/>
        </w:rPr>
        <w:t xml:space="preserve">, modelos de utilidad, </w:t>
      </w:r>
      <w:r w:rsidR="009F20C3" w:rsidRPr="009F20C3">
        <w:rPr>
          <w:szCs w:val="22"/>
          <w:u w:val="single"/>
          <w:lang w:val="es-ES"/>
        </w:rPr>
        <w:t>certificados complementarios de protección, patentes de plantas, patentes de diseño, certificados de inventor, certificados de utilidad y patentes de adición</w:t>
      </w:r>
      <w:r w:rsidR="00CD7E53" w:rsidRPr="009F20C3">
        <w:rPr>
          <w:szCs w:val="22"/>
          <w:u w:val="single"/>
          <w:lang w:val="es-ES"/>
        </w:rPr>
        <w:t>.</w:t>
      </w:r>
      <w:r w:rsidR="00CD7E53">
        <w:rPr>
          <w:szCs w:val="22"/>
          <w:lang w:val="es-ES"/>
        </w:rPr>
        <w:t xml:space="preserve"> </w:t>
      </w:r>
      <w:r w:rsidR="002B5A49" w:rsidRPr="009773C4">
        <w:rPr>
          <w:szCs w:val="22"/>
          <w:lang w:val="es-ES"/>
        </w:rPr>
        <w:t xml:space="preserve">Esta categoría también incluye incidencias relacionadas con la presentación de una solicitud provisional, solicitud divisional, solicitud de continuación, solicitud de continuación en parte o solicitud de conversión. </w:t>
      </w:r>
      <w:r w:rsidRPr="006F2677">
        <w:rPr>
          <w:szCs w:val="22"/>
          <w:lang w:val="es-ES_tradnl"/>
        </w:rPr>
        <w:t>También comprende la entrada de una solicitud internacional en la fase nacional o regional.</w:t>
      </w:r>
    </w:p>
    <w:p w14:paraId="40058185" w14:textId="02FAAAFF" w:rsidR="001322CF" w:rsidRPr="00E56C57" w:rsidRDefault="00C1371B" w:rsidP="00E56C57">
      <w:pPr>
        <w:spacing w:after="220"/>
        <w:ind w:left="562"/>
        <w:rPr>
          <w:bCs/>
          <w:szCs w:val="22"/>
          <w:lang w:val="es-ES"/>
        </w:rPr>
      </w:pPr>
      <w:r w:rsidRPr="00440746">
        <w:rPr>
          <w:b/>
          <w:szCs w:val="22"/>
          <w:lang w:val="es-ES"/>
        </w:rPr>
        <w:t>F.</w:t>
      </w:r>
      <w:r w:rsidRPr="00440746">
        <w:rPr>
          <w:b/>
          <w:szCs w:val="22"/>
          <w:lang w:val="es-ES"/>
        </w:rPr>
        <w:tab/>
      </w:r>
      <w:r w:rsidR="00E56C57" w:rsidRPr="00E56C57">
        <w:rPr>
          <w:b/>
          <w:szCs w:val="22"/>
          <w:lang w:val="es-ES"/>
        </w:rPr>
        <w:t xml:space="preserve">Concesión de derecho de PI: </w:t>
      </w:r>
      <w:r w:rsidR="00E56C57" w:rsidRPr="00E56C57">
        <w:rPr>
          <w:bCs/>
          <w:szCs w:val="22"/>
          <w:lang w:val="es-ES"/>
        </w:rPr>
        <w:t xml:space="preserve">esta categoría se compone de un grupo de incidencias relacionadas con la fecha de concesión efectiva de un derecho de PI y/o de entrada de un derecho de PI en el registro de la OPI. Incluye, por ejemplo, cuando un derecho de PI ha sido concedido tras un examen, una apelación, una revisión anterior a la concesión o la inadmisibilidad, rechazo o retirada de una petición de revisión anterior a la concesión. </w:t>
      </w:r>
      <w:r w:rsidR="00E56C57" w:rsidRPr="00E56C57">
        <w:rPr>
          <w:bCs/>
          <w:szCs w:val="22"/>
          <w:u w:val="single"/>
          <w:lang w:val="es-ES"/>
        </w:rPr>
        <w:t xml:space="preserve">Los tipos de derechos de PI comprendidos incluyen las patentes de invención, modelos de utilidad, certificados complementarios de protección y cualquier otro derecho de PI que se derive de los tipos de solicitudes comprendidas en la </w:t>
      </w:r>
      <w:r w:rsidR="00D96251">
        <w:rPr>
          <w:bCs/>
          <w:szCs w:val="22"/>
          <w:u w:val="single"/>
          <w:lang w:val="es-ES"/>
        </w:rPr>
        <w:t>c</w:t>
      </w:r>
      <w:r w:rsidR="00E56C57" w:rsidRPr="00E56C57">
        <w:rPr>
          <w:bCs/>
          <w:szCs w:val="22"/>
          <w:u w:val="single"/>
          <w:lang w:val="es-ES"/>
        </w:rPr>
        <w:t>ategoría A.</w:t>
      </w:r>
      <w:r w:rsidR="00E56C57">
        <w:rPr>
          <w:bCs/>
          <w:szCs w:val="22"/>
          <w:lang w:val="es-ES"/>
        </w:rPr>
        <w:t xml:space="preserve"> </w:t>
      </w:r>
      <w:r w:rsidR="00E56C57" w:rsidRPr="00E56C57">
        <w:rPr>
          <w:bCs/>
          <w:szCs w:val="22"/>
          <w:lang w:val="es-ES"/>
        </w:rPr>
        <w:t>Las incidencias de esta categoría pueden hacer que una solicitud pase de la etapa de examen o la etapa de impugnación anterior a la concesión a la etapa de concesión.</w:t>
      </w:r>
    </w:p>
    <w:p w14:paraId="688B1212" w14:textId="21D0540F" w:rsidR="001322CF" w:rsidRDefault="006F2677" w:rsidP="006F2677">
      <w:pPr>
        <w:numPr>
          <w:ilvl w:val="0"/>
          <w:numId w:val="5"/>
        </w:numPr>
        <w:tabs>
          <w:tab w:val="clear" w:pos="567"/>
        </w:tabs>
        <w:spacing w:after="120"/>
        <w:rPr>
          <w:szCs w:val="22"/>
          <w:lang w:val="es-ES"/>
        </w:rPr>
      </w:pPr>
      <w:r w:rsidRPr="006F2677">
        <w:rPr>
          <w:szCs w:val="22"/>
          <w:lang w:val="es-ES_tradnl"/>
        </w:rPr>
        <w:t>Una vez aprobadas las revisiones propuestas, se propone que se actualice el Anexo II de la Norma ST.27 para reflejar esos cambios en consecuencia.</w:t>
      </w:r>
    </w:p>
    <w:p w14:paraId="706E5D1A" w14:textId="45CF6EF0" w:rsidR="001322CF" w:rsidRDefault="006F2677" w:rsidP="006F2677">
      <w:pPr>
        <w:numPr>
          <w:ilvl w:val="0"/>
          <w:numId w:val="5"/>
        </w:numPr>
        <w:tabs>
          <w:tab w:val="clear" w:pos="567"/>
        </w:tabs>
        <w:spacing w:after="120"/>
        <w:rPr>
          <w:szCs w:val="22"/>
          <w:lang w:val="es-ES"/>
        </w:rPr>
      </w:pPr>
      <w:r w:rsidRPr="006F2677">
        <w:rPr>
          <w:szCs w:val="22"/>
          <w:lang w:val="es-ES_tradnl"/>
        </w:rPr>
        <w:t xml:space="preserve">En cuanto a la propuesta de añadir la frase </w:t>
      </w:r>
      <w:r w:rsidR="00D05B51">
        <w:rPr>
          <w:szCs w:val="22"/>
          <w:lang w:val="es-ES_tradnl"/>
        </w:rPr>
        <w:t>“</w:t>
      </w:r>
      <w:r w:rsidRPr="006F2677">
        <w:rPr>
          <w:szCs w:val="22"/>
          <w:lang w:val="es-ES_tradnl"/>
        </w:rPr>
        <w:t>al solicitante</w:t>
      </w:r>
      <w:r w:rsidR="00D05B51">
        <w:rPr>
          <w:szCs w:val="22"/>
          <w:lang w:val="es-ES_tradnl"/>
        </w:rPr>
        <w:t>”</w:t>
      </w:r>
      <w:r w:rsidRPr="006F2677">
        <w:rPr>
          <w:szCs w:val="22"/>
          <w:lang w:val="es-ES_tradnl"/>
        </w:rPr>
        <w:t xml:space="preserve"> a </w:t>
      </w:r>
      <w:r w:rsidR="00D05B51">
        <w:rPr>
          <w:szCs w:val="22"/>
          <w:lang w:val="es-ES_tradnl"/>
        </w:rPr>
        <w:t xml:space="preserve">las incidencias </w:t>
      </w:r>
      <w:r w:rsidRPr="006F2677">
        <w:rPr>
          <w:szCs w:val="22"/>
          <w:lang w:val="es-ES_tradnl"/>
        </w:rPr>
        <w:t xml:space="preserve">D14 y D15, el Equipo Técnico consideró que no todas las OPI proporcionan al solicitante el informe de búsqueda y examen </w:t>
      </w:r>
      <w:r w:rsidR="00F87C20">
        <w:rPr>
          <w:szCs w:val="22"/>
          <w:lang w:val="es-ES_tradnl"/>
        </w:rPr>
        <w:t>una vez realizado</w:t>
      </w:r>
      <w:r w:rsidRPr="006F2677">
        <w:rPr>
          <w:szCs w:val="22"/>
          <w:lang w:val="es-ES_tradnl"/>
        </w:rPr>
        <w:t>.</w:t>
      </w:r>
      <w:r w:rsidR="00D05B51">
        <w:rPr>
          <w:szCs w:val="22"/>
          <w:lang w:val="es-ES"/>
        </w:rPr>
        <w:t xml:space="preserve"> </w:t>
      </w:r>
      <w:r w:rsidRPr="006F2677">
        <w:rPr>
          <w:szCs w:val="22"/>
          <w:lang w:val="es-ES_tradnl"/>
        </w:rPr>
        <w:t xml:space="preserve">El </w:t>
      </w:r>
      <w:r w:rsidR="006D6A06">
        <w:rPr>
          <w:szCs w:val="22"/>
          <w:lang w:val="es-ES_tradnl"/>
        </w:rPr>
        <w:t>Equipo Técnico</w:t>
      </w:r>
      <w:r w:rsidRPr="006F2677">
        <w:rPr>
          <w:szCs w:val="22"/>
          <w:lang w:val="es-ES_tradnl"/>
        </w:rPr>
        <w:t xml:space="preserve"> propone modificar la descripción de esas </w:t>
      </w:r>
      <w:r w:rsidR="00D96251">
        <w:rPr>
          <w:szCs w:val="22"/>
          <w:lang w:val="es-ES_tradnl"/>
        </w:rPr>
        <w:t>incidencias</w:t>
      </w:r>
      <w:r w:rsidRPr="006F2677">
        <w:rPr>
          <w:szCs w:val="22"/>
          <w:lang w:val="es-ES_tradnl"/>
        </w:rPr>
        <w:t xml:space="preserve"> de la manera siguiente:</w:t>
      </w:r>
    </w:p>
    <w:p w14:paraId="15F8CF18" w14:textId="029474F1" w:rsidR="001322CF" w:rsidRDefault="006F2677" w:rsidP="00807C99">
      <w:pPr>
        <w:spacing w:after="120"/>
        <w:ind w:left="1134" w:hanging="572"/>
        <w:jc w:val="both"/>
        <w:rPr>
          <w:szCs w:val="22"/>
          <w:lang w:val="es-ES"/>
        </w:rPr>
      </w:pPr>
      <w:r w:rsidRPr="006F2677">
        <w:rPr>
          <w:szCs w:val="22"/>
          <w:lang w:val="es-ES_tradnl"/>
        </w:rPr>
        <w:t>D14.</w:t>
      </w:r>
      <w:r w:rsidR="00FE2B6E" w:rsidRPr="00440746">
        <w:rPr>
          <w:szCs w:val="22"/>
          <w:lang w:val="es-ES"/>
        </w:rPr>
        <w:tab/>
      </w:r>
      <w:r w:rsidR="00D96249" w:rsidRPr="00D96249">
        <w:rPr>
          <w:szCs w:val="22"/>
          <w:lang w:val="es-ES_tradnl"/>
        </w:rPr>
        <w:t xml:space="preserve">Informe </w:t>
      </w:r>
      <w:r w:rsidR="00CC5D46">
        <w:rPr>
          <w:szCs w:val="22"/>
          <w:lang w:val="es-ES_tradnl"/>
        </w:rPr>
        <w:t xml:space="preserve">de búsqueda </w:t>
      </w:r>
      <w:r w:rsidR="00CC5D46" w:rsidRPr="00CC5D46">
        <w:rPr>
          <w:strike/>
          <w:szCs w:val="22"/>
          <w:lang w:val="es-ES_tradnl"/>
        </w:rPr>
        <w:t>emitido</w:t>
      </w:r>
      <w:r w:rsidR="00CC5D46">
        <w:rPr>
          <w:szCs w:val="22"/>
          <w:lang w:val="es-ES_tradnl"/>
        </w:rPr>
        <w:t xml:space="preserve"> </w:t>
      </w:r>
      <w:r w:rsidR="00F87C20">
        <w:rPr>
          <w:szCs w:val="22"/>
          <w:u w:val="single"/>
          <w:lang w:val="es-ES_tradnl"/>
        </w:rPr>
        <w:t>realizad</w:t>
      </w:r>
      <w:r w:rsidR="00CC5D46" w:rsidRPr="00CC5D46">
        <w:rPr>
          <w:szCs w:val="22"/>
          <w:u w:val="single"/>
          <w:lang w:val="es-ES_tradnl"/>
        </w:rPr>
        <w:t>o</w:t>
      </w:r>
      <w:r w:rsidR="00CC5D46">
        <w:rPr>
          <w:szCs w:val="22"/>
          <w:lang w:val="es-ES_tradnl"/>
        </w:rPr>
        <w:t xml:space="preserve"> </w:t>
      </w:r>
      <w:r w:rsidR="00D96249" w:rsidRPr="00D96249">
        <w:rPr>
          <w:szCs w:val="22"/>
          <w:lang w:val="es-ES_tradnl"/>
        </w:rPr>
        <w:t>(</w:t>
      </w:r>
      <w:r w:rsidR="00CC5D46" w:rsidRPr="00CC5D46">
        <w:rPr>
          <w:szCs w:val="22"/>
          <w:u w:val="single"/>
          <w:lang w:val="es-ES_tradnl"/>
        </w:rPr>
        <w:t>La OPI</w:t>
      </w:r>
      <w:r w:rsidR="00CC5D46">
        <w:rPr>
          <w:szCs w:val="22"/>
          <w:lang w:val="es-ES_tradnl"/>
        </w:rPr>
        <w:t xml:space="preserve"> </w:t>
      </w:r>
      <w:r w:rsidR="00D96249" w:rsidRPr="00CC5D46">
        <w:rPr>
          <w:strike/>
          <w:szCs w:val="22"/>
          <w:lang w:val="es-ES_tradnl"/>
        </w:rPr>
        <w:t>Se</w:t>
      </w:r>
      <w:r w:rsidR="00D96249" w:rsidRPr="00D96249">
        <w:rPr>
          <w:szCs w:val="22"/>
          <w:lang w:val="es-ES_tradnl"/>
        </w:rPr>
        <w:t xml:space="preserve"> ha </w:t>
      </w:r>
      <w:r w:rsidR="00D96249" w:rsidRPr="00CC5D46">
        <w:rPr>
          <w:strike/>
          <w:szCs w:val="22"/>
          <w:lang w:val="es-ES_tradnl"/>
        </w:rPr>
        <w:t>emitido</w:t>
      </w:r>
      <w:r w:rsidR="00D96249" w:rsidRPr="00D96249">
        <w:rPr>
          <w:szCs w:val="22"/>
          <w:lang w:val="es-ES_tradnl"/>
        </w:rPr>
        <w:t xml:space="preserve"> </w:t>
      </w:r>
      <w:r w:rsidR="00ED53B1">
        <w:rPr>
          <w:szCs w:val="22"/>
          <w:u w:val="single"/>
          <w:lang w:val="es-ES_tradnl"/>
        </w:rPr>
        <w:t>realizado</w:t>
      </w:r>
      <w:r w:rsidR="00CC5D46">
        <w:rPr>
          <w:szCs w:val="22"/>
          <w:lang w:val="es-ES_tradnl"/>
        </w:rPr>
        <w:t xml:space="preserve"> </w:t>
      </w:r>
      <w:r w:rsidR="00D96249" w:rsidRPr="00D96249">
        <w:rPr>
          <w:szCs w:val="22"/>
          <w:lang w:val="es-ES_tradnl"/>
        </w:rPr>
        <w:t>un informe de búsqueda relativo a una solicitud</w:t>
      </w:r>
      <w:r w:rsidR="00CC5D46">
        <w:rPr>
          <w:szCs w:val="22"/>
          <w:lang w:val="es-ES_tradnl"/>
        </w:rPr>
        <w:t>.</w:t>
      </w:r>
      <w:r w:rsidR="00D96249" w:rsidRPr="00D96249">
        <w:rPr>
          <w:szCs w:val="22"/>
          <w:lang w:val="es-ES_tradnl"/>
        </w:rPr>
        <w:t>)</w:t>
      </w:r>
    </w:p>
    <w:p w14:paraId="3CDD19B1" w14:textId="6B331866" w:rsidR="001322CF" w:rsidRDefault="00D96249" w:rsidP="00807C99">
      <w:pPr>
        <w:spacing w:after="220"/>
        <w:ind w:left="1134" w:hanging="572"/>
        <w:rPr>
          <w:szCs w:val="22"/>
          <w:lang w:val="es-ES"/>
        </w:rPr>
      </w:pPr>
      <w:r w:rsidRPr="00D96249">
        <w:rPr>
          <w:szCs w:val="22"/>
          <w:lang w:val="es-ES_tradnl"/>
        </w:rPr>
        <w:t>D15</w:t>
      </w:r>
      <w:r w:rsidR="00FE2B6E" w:rsidRPr="00440746">
        <w:rPr>
          <w:szCs w:val="22"/>
          <w:lang w:val="es-ES"/>
        </w:rPr>
        <w:tab/>
      </w:r>
      <w:r w:rsidRPr="00D96249">
        <w:rPr>
          <w:szCs w:val="22"/>
          <w:lang w:val="es-ES_tradnl"/>
        </w:rPr>
        <w:t>Inform</w:t>
      </w:r>
      <w:r w:rsidR="00CC5D46">
        <w:rPr>
          <w:szCs w:val="22"/>
          <w:lang w:val="es-ES_tradnl"/>
        </w:rPr>
        <w:t xml:space="preserve">e de examen </w:t>
      </w:r>
      <w:r w:rsidR="00CC5D46" w:rsidRPr="00CC5D46">
        <w:rPr>
          <w:strike/>
          <w:szCs w:val="22"/>
          <w:lang w:val="es-ES_tradnl"/>
        </w:rPr>
        <w:t>emitido</w:t>
      </w:r>
      <w:r w:rsidR="00CC5D46">
        <w:rPr>
          <w:szCs w:val="22"/>
          <w:lang w:val="es-ES_tradnl"/>
        </w:rPr>
        <w:t xml:space="preserve"> </w:t>
      </w:r>
      <w:r w:rsidR="00F87C20">
        <w:rPr>
          <w:szCs w:val="22"/>
          <w:u w:val="single"/>
          <w:lang w:val="es-ES_tradnl"/>
        </w:rPr>
        <w:t>realiza</w:t>
      </w:r>
      <w:r w:rsidR="00CC5D46" w:rsidRPr="00CC5D46">
        <w:rPr>
          <w:szCs w:val="22"/>
          <w:u w:val="single"/>
          <w:lang w:val="es-ES_tradnl"/>
        </w:rPr>
        <w:t>do</w:t>
      </w:r>
      <w:r w:rsidR="00CC5D46">
        <w:rPr>
          <w:szCs w:val="22"/>
          <w:lang w:val="es-ES_tradnl"/>
        </w:rPr>
        <w:t xml:space="preserve"> </w:t>
      </w:r>
      <w:r w:rsidRPr="00D96249">
        <w:rPr>
          <w:szCs w:val="22"/>
          <w:lang w:val="es-ES_tradnl"/>
        </w:rPr>
        <w:t>(</w:t>
      </w:r>
      <w:r w:rsidRPr="00CC5D46">
        <w:rPr>
          <w:szCs w:val="22"/>
          <w:u w:val="single"/>
          <w:lang w:val="es-ES_tradnl"/>
        </w:rPr>
        <w:t>La OPI</w:t>
      </w:r>
      <w:r w:rsidRPr="00D96249">
        <w:rPr>
          <w:szCs w:val="22"/>
          <w:lang w:val="es-ES_tradnl"/>
        </w:rPr>
        <w:t xml:space="preserve"> </w:t>
      </w:r>
      <w:r w:rsidR="00CC5D46" w:rsidRPr="00CC5D46">
        <w:rPr>
          <w:strike/>
          <w:szCs w:val="22"/>
          <w:lang w:val="es-ES_tradnl"/>
        </w:rPr>
        <w:t>Se</w:t>
      </w:r>
      <w:r w:rsidR="00CC5D46">
        <w:rPr>
          <w:szCs w:val="22"/>
          <w:lang w:val="es-ES_tradnl"/>
        </w:rPr>
        <w:t xml:space="preserve"> </w:t>
      </w:r>
      <w:r w:rsidRPr="00D96249">
        <w:rPr>
          <w:szCs w:val="22"/>
          <w:lang w:val="es-ES_tradnl"/>
        </w:rPr>
        <w:t xml:space="preserve">ha </w:t>
      </w:r>
      <w:r w:rsidRPr="00CC5D46">
        <w:rPr>
          <w:strike/>
          <w:szCs w:val="22"/>
          <w:lang w:val="es-ES_tradnl"/>
        </w:rPr>
        <w:t>emitido</w:t>
      </w:r>
      <w:r w:rsidRPr="00D96249">
        <w:rPr>
          <w:szCs w:val="22"/>
          <w:lang w:val="es-ES_tradnl"/>
        </w:rPr>
        <w:t xml:space="preserve"> </w:t>
      </w:r>
      <w:r w:rsidR="00ED53B1" w:rsidRPr="00ED53B1">
        <w:rPr>
          <w:szCs w:val="22"/>
          <w:u w:val="single"/>
          <w:lang w:val="es-ES_tradnl"/>
        </w:rPr>
        <w:t>realiza</w:t>
      </w:r>
      <w:r w:rsidR="00CC5D46" w:rsidRPr="00CC5D46">
        <w:rPr>
          <w:szCs w:val="22"/>
          <w:u w:val="single"/>
          <w:lang w:val="es-ES_tradnl"/>
        </w:rPr>
        <w:t>do</w:t>
      </w:r>
      <w:r w:rsidR="00CC5D46">
        <w:rPr>
          <w:szCs w:val="22"/>
          <w:lang w:val="es-ES_tradnl"/>
        </w:rPr>
        <w:t xml:space="preserve"> </w:t>
      </w:r>
      <w:r w:rsidRPr="00D96249">
        <w:rPr>
          <w:szCs w:val="22"/>
          <w:lang w:val="es-ES_tradnl"/>
        </w:rPr>
        <w:t xml:space="preserve">un informe de examen sustantivo </w:t>
      </w:r>
      <w:r w:rsidRPr="00CC5D46">
        <w:rPr>
          <w:strike/>
          <w:szCs w:val="22"/>
          <w:lang w:val="es-ES_tradnl"/>
        </w:rPr>
        <w:t>o una notificación del motivo de rechazo de la solicitud</w:t>
      </w:r>
      <w:r w:rsidR="00CC5D46">
        <w:rPr>
          <w:szCs w:val="22"/>
          <w:lang w:val="es-ES_tradnl"/>
        </w:rPr>
        <w:t>.</w:t>
      </w:r>
      <w:r w:rsidRPr="00D96249">
        <w:rPr>
          <w:szCs w:val="22"/>
          <w:lang w:val="es-ES_tradnl"/>
        </w:rPr>
        <w:t>)</w:t>
      </w:r>
    </w:p>
    <w:p w14:paraId="7AD92CD4" w14:textId="476DE513" w:rsidR="001322CF" w:rsidRDefault="00D96249" w:rsidP="00D96249">
      <w:pPr>
        <w:numPr>
          <w:ilvl w:val="0"/>
          <w:numId w:val="5"/>
        </w:numPr>
        <w:tabs>
          <w:tab w:val="clear" w:pos="567"/>
        </w:tabs>
        <w:spacing w:after="120"/>
        <w:rPr>
          <w:szCs w:val="22"/>
          <w:lang w:val="es-ES"/>
        </w:rPr>
      </w:pPr>
      <w:r w:rsidRPr="00D96249">
        <w:rPr>
          <w:szCs w:val="22"/>
          <w:lang w:val="es-ES_tradnl"/>
        </w:rPr>
        <w:t xml:space="preserve">El CWS aprobó una propuesta para aclarar </w:t>
      </w:r>
      <w:r w:rsidR="006B7696">
        <w:rPr>
          <w:szCs w:val="22"/>
          <w:lang w:val="es-ES_tradnl"/>
        </w:rPr>
        <w:t>las incidencias R12 a R14 en su sexta</w:t>
      </w:r>
      <w:r w:rsidRPr="00D96249">
        <w:rPr>
          <w:szCs w:val="22"/>
          <w:lang w:val="es-ES_tradnl"/>
        </w:rPr>
        <w:t xml:space="preserve"> </w:t>
      </w:r>
      <w:r w:rsidR="006B7696">
        <w:rPr>
          <w:szCs w:val="22"/>
          <w:lang w:val="es-ES_tradnl"/>
        </w:rPr>
        <w:t>sesión</w:t>
      </w:r>
      <w:r w:rsidRPr="00D96249">
        <w:rPr>
          <w:szCs w:val="22"/>
          <w:lang w:val="es-ES_tradnl"/>
        </w:rPr>
        <w:t>.</w:t>
      </w:r>
      <w:r w:rsidR="006B7696">
        <w:rPr>
          <w:szCs w:val="22"/>
          <w:lang w:val="es-ES"/>
        </w:rPr>
        <w:t xml:space="preserve"> </w:t>
      </w:r>
      <w:r w:rsidRPr="00D96249">
        <w:rPr>
          <w:szCs w:val="22"/>
          <w:lang w:val="es-ES_tradnl"/>
        </w:rPr>
        <w:t xml:space="preserve">El Equipo </w:t>
      </w:r>
      <w:r w:rsidR="006B7696">
        <w:rPr>
          <w:szCs w:val="22"/>
          <w:lang w:val="es-ES_tradnl"/>
        </w:rPr>
        <w:t xml:space="preserve">Técnico </w:t>
      </w:r>
      <w:r w:rsidRPr="00D96249">
        <w:rPr>
          <w:szCs w:val="22"/>
          <w:lang w:val="es-ES_tradnl"/>
        </w:rPr>
        <w:t xml:space="preserve">consideró que una </w:t>
      </w:r>
      <w:r w:rsidR="00B22F16">
        <w:rPr>
          <w:szCs w:val="22"/>
          <w:lang w:val="es-ES_tradnl"/>
        </w:rPr>
        <w:t>nueva</w:t>
      </w:r>
      <w:r w:rsidRPr="00D96249">
        <w:rPr>
          <w:szCs w:val="22"/>
          <w:lang w:val="es-ES_tradnl"/>
        </w:rPr>
        <w:t xml:space="preserve"> aclaración ayudaría a los usuarios a comprender mejor las diferencias entre </w:t>
      </w:r>
      <w:r w:rsidR="006B7696">
        <w:rPr>
          <w:szCs w:val="22"/>
          <w:lang w:val="es-ES_tradnl"/>
        </w:rPr>
        <w:t xml:space="preserve">esas incidencias </w:t>
      </w:r>
      <w:r w:rsidRPr="00D96249">
        <w:rPr>
          <w:szCs w:val="22"/>
          <w:lang w:val="es-ES_tradnl"/>
        </w:rPr>
        <w:t xml:space="preserve">y propone los siguientes cambios </w:t>
      </w:r>
      <w:r w:rsidR="006B7696">
        <w:rPr>
          <w:szCs w:val="22"/>
          <w:lang w:val="es-ES_tradnl"/>
        </w:rPr>
        <w:t>en la redacción a título aclaratorio</w:t>
      </w:r>
      <w:r w:rsidRPr="00D96249">
        <w:rPr>
          <w:szCs w:val="22"/>
          <w:lang w:val="es-ES_tradnl"/>
        </w:rPr>
        <w:t>:</w:t>
      </w:r>
    </w:p>
    <w:p w14:paraId="3394EA4D" w14:textId="3F5E1F68" w:rsidR="00B22F16" w:rsidRDefault="00D96249" w:rsidP="00B22F16">
      <w:pPr>
        <w:keepLines/>
        <w:ind w:left="1138" w:hanging="576"/>
        <w:jc w:val="both"/>
        <w:rPr>
          <w:szCs w:val="22"/>
          <w:lang w:val="es-ES"/>
        </w:rPr>
      </w:pPr>
      <w:r w:rsidRPr="00D96249">
        <w:rPr>
          <w:szCs w:val="22"/>
          <w:lang w:val="es-ES_tradnl"/>
        </w:rPr>
        <w:lastRenderedPageBreak/>
        <w:t>R12</w:t>
      </w:r>
      <w:r w:rsidR="00B22F16" w:rsidRPr="008C3C5A">
        <w:rPr>
          <w:szCs w:val="22"/>
          <w:lang w:val="es-ES"/>
        </w:rPr>
        <w:t>*</w:t>
      </w:r>
      <w:r w:rsidRPr="00D96249">
        <w:rPr>
          <w:szCs w:val="22"/>
          <w:lang w:val="es-ES_tradnl"/>
        </w:rPr>
        <w:t>.</w:t>
      </w:r>
      <w:r w:rsidR="007E1B1A" w:rsidRPr="00440746">
        <w:rPr>
          <w:szCs w:val="22"/>
          <w:lang w:val="es-ES"/>
        </w:rPr>
        <w:tab/>
      </w:r>
      <w:r w:rsidR="00B22F16">
        <w:rPr>
          <w:szCs w:val="22"/>
          <w:lang w:val="es-ES"/>
        </w:rPr>
        <w:t xml:space="preserve"> </w:t>
      </w:r>
      <w:r w:rsidR="00B22F16" w:rsidRPr="00B22F16">
        <w:rPr>
          <w:szCs w:val="22"/>
          <w:lang w:val="es-ES"/>
        </w:rPr>
        <w:t xml:space="preserve">Cambio de nombre de solicitante o titular o transferencia de titularidad, inscrito (La OPI ha inscrito un cambio del </w:t>
      </w:r>
      <w:r w:rsidR="00B22F16">
        <w:rPr>
          <w:szCs w:val="22"/>
          <w:lang w:val="es-ES"/>
        </w:rPr>
        <w:t xml:space="preserve">solicitante </w:t>
      </w:r>
      <w:r w:rsidR="00B22F16" w:rsidRPr="00B22F16">
        <w:rPr>
          <w:szCs w:val="22"/>
          <w:lang w:val="es-ES"/>
        </w:rPr>
        <w:t>o solicitantes o del titular o titulares de la solicitud o del derecho de PI</w:t>
      </w:r>
      <w:r w:rsidR="004E5F55">
        <w:rPr>
          <w:szCs w:val="22"/>
          <w:lang w:val="es-ES"/>
        </w:rPr>
        <w:t>,</w:t>
      </w:r>
      <w:r w:rsidR="00B22F16">
        <w:rPr>
          <w:szCs w:val="22"/>
          <w:lang w:val="es-ES"/>
        </w:rPr>
        <w:t xml:space="preserve"> </w:t>
      </w:r>
      <w:r w:rsidR="00B22F16" w:rsidRPr="004E5F55">
        <w:rPr>
          <w:szCs w:val="22"/>
          <w:u w:val="single"/>
          <w:lang w:val="es-ES"/>
        </w:rPr>
        <w:t xml:space="preserve">o una </w:t>
      </w:r>
      <w:r w:rsidR="004E5F55" w:rsidRPr="004E5F55">
        <w:rPr>
          <w:szCs w:val="22"/>
          <w:u w:val="single"/>
          <w:lang w:val="es-ES"/>
        </w:rPr>
        <w:t>transferencia de titularidad o cesió</w:t>
      </w:r>
      <w:r w:rsidR="00CC26CC">
        <w:rPr>
          <w:szCs w:val="22"/>
          <w:u w:val="single"/>
          <w:lang w:val="es-ES"/>
        </w:rPr>
        <w:t>n</w:t>
      </w:r>
      <w:r w:rsidR="00B22F16" w:rsidRPr="00B22F16">
        <w:rPr>
          <w:strike/>
          <w:szCs w:val="22"/>
          <w:lang w:val="es-ES"/>
        </w:rPr>
        <w:t>incluido un cambio de nombres o de su composición</w:t>
      </w:r>
      <w:r w:rsidR="00B22F16" w:rsidRPr="00B22F16">
        <w:rPr>
          <w:szCs w:val="22"/>
          <w:lang w:val="es-ES"/>
        </w:rPr>
        <w:t xml:space="preserve">. Puede deberse a </w:t>
      </w:r>
      <w:r w:rsidR="00CC26CC" w:rsidRPr="00CC26CC">
        <w:rPr>
          <w:szCs w:val="22"/>
          <w:u w:val="single"/>
          <w:lang w:val="es-ES"/>
        </w:rPr>
        <w:t>una corrección del nombre,</w:t>
      </w:r>
      <w:r w:rsidR="00CC26CC">
        <w:rPr>
          <w:szCs w:val="22"/>
          <w:lang w:val="es-ES"/>
        </w:rPr>
        <w:t xml:space="preserve"> </w:t>
      </w:r>
      <w:r w:rsidR="00B22F16" w:rsidRPr="00B22F16">
        <w:rPr>
          <w:szCs w:val="22"/>
          <w:lang w:val="es-ES"/>
        </w:rPr>
        <w:t xml:space="preserve">un cambio de </w:t>
      </w:r>
      <w:r w:rsidR="00B22F16" w:rsidRPr="00D06A27">
        <w:rPr>
          <w:strike/>
          <w:szCs w:val="22"/>
          <w:lang w:val="es-ES"/>
        </w:rPr>
        <w:t>nombre</w:t>
      </w:r>
      <w:r w:rsidR="00CC26CC">
        <w:rPr>
          <w:szCs w:val="22"/>
          <w:lang w:val="es-ES"/>
        </w:rPr>
        <w:t xml:space="preserve"> </w:t>
      </w:r>
      <w:r w:rsidR="00D06A27">
        <w:rPr>
          <w:szCs w:val="22"/>
          <w:u w:val="single"/>
          <w:lang w:val="es-ES"/>
        </w:rPr>
        <w:t>denominación jurídica</w:t>
      </w:r>
      <w:r w:rsidR="00B22F16" w:rsidRPr="00B22F16">
        <w:rPr>
          <w:szCs w:val="22"/>
          <w:lang w:val="es-ES"/>
        </w:rPr>
        <w:t>, una transferencia de titularidad</w:t>
      </w:r>
      <w:r w:rsidR="00B22F16" w:rsidRPr="00D87927">
        <w:rPr>
          <w:strike/>
          <w:szCs w:val="22"/>
          <w:lang w:val="es-ES"/>
        </w:rPr>
        <w:t>,</w:t>
      </w:r>
      <w:r w:rsidR="00D87927">
        <w:rPr>
          <w:szCs w:val="22"/>
          <w:lang w:val="es-ES"/>
        </w:rPr>
        <w:t xml:space="preserve"> </w:t>
      </w:r>
      <w:r w:rsidR="00D87927" w:rsidRPr="00D87927">
        <w:rPr>
          <w:szCs w:val="22"/>
          <w:u w:val="single"/>
          <w:lang w:val="es-ES"/>
        </w:rPr>
        <w:t>o</w:t>
      </w:r>
      <w:r w:rsidR="00B22F16" w:rsidRPr="00B22F16">
        <w:rPr>
          <w:szCs w:val="22"/>
          <w:lang w:val="es-ES"/>
        </w:rPr>
        <w:t xml:space="preserve"> una </w:t>
      </w:r>
      <w:r w:rsidR="00CC26CC">
        <w:rPr>
          <w:szCs w:val="22"/>
          <w:lang w:val="es-ES"/>
        </w:rPr>
        <w:t>cesión</w:t>
      </w:r>
      <w:r w:rsidR="00B22F16" w:rsidRPr="00B22F16">
        <w:rPr>
          <w:szCs w:val="22"/>
          <w:lang w:val="es-ES"/>
        </w:rPr>
        <w:t xml:space="preserve"> </w:t>
      </w:r>
      <w:r w:rsidR="00B22F16" w:rsidRPr="00D87927">
        <w:rPr>
          <w:strike/>
          <w:szCs w:val="22"/>
          <w:lang w:val="es-ES"/>
        </w:rPr>
        <w:t>o un procedimiento judicial</w:t>
      </w:r>
      <w:r w:rsidR="00B22F16" w:rsidRPr="00B22F16">
        <w:rPr>
          <w:szCs w:val="22"/>
          <w:lang w:val="es-ES"/>
        </w:rPr>
        <w:t>.). Esta incidencia detallada ha sido prevista para las OPI que no pueden efectuar una distinción entre R13 y R14. Si se puede hacer la distinción, entonces se recomienda</w:t>
      </w:r>
      <w:r w:rsidR="00BE62C8">
        <w:rPr>
          <w:szCs w:val="22"/>
          <w:lang w:val="es-ES"/>
        </w:rPr>
        <w:t xml:space="preserve"> utilizar los códigos R13 y R14.</w:t>
      </w:r>
    </w:p>
    <w:p w14:paraId="4E53A0B8" w14:textId="77777777" w:rsidR="00BE62C8" w:rsidRPr="00B22F16" w:rsidRDefault="00BE62C8" w:rsidP="00B22F16">
      <w:pPr>
        <w:keepLines/>
        <w:ind w:left="1138" w:hanging="576"/>
        <w:jc w:val="both"/>
        <w:rPr>
          <w:szCs w:val="22"/>
          <w:lang w:val="es-ES"/>
        </w:rPr>
      </w:pPr>
    </w:p>
    <w:p w14:paraId="3E3CF13C" w14:textId="629C0502" w:rsidR="001322CF" w:rsidRDefault="00D96249" w:rsidP="00D96249">
      <w:pPr>
        <w:keepLines/>
        <w:shd w:val="clear" w:color="auto" w:fill="FFFFFF"/>
        <w:spacing w:after="120"/>
        <w:ind w:left="1124" w:hanging="562"/>
        <w:rPr>
          <w:rFonts w:eastAsia="Times New Roman"/>
          <w:color w:val="222222"/>
          <w:szCs w:val="22"/>
          <w:lang w:val="es-ES_tradnl" w:eastAsia="en-CA"/>
        </w:rPr>
      </w:pPr>
      <w:r w:rsidRPr="00D96249">
        <w:rPr>
          <w:rFonts w:eastAsia="Times New Roman"/>
          <w:color w:val="222222"/>
          <w:szCs w:val="22"/>
          <w:lang w:val="es-ES_tradnl" w:eastAsia="en-CA"/>
        </w:rPr>
        <w:t>R13</w:t>
      </w:r>
      <w:r w:rsidR="00BE62C8" w:rsidRPr="008C3C5A">
        <w:rPr>
          <w:rFonts w:eastAsia="Times New Roman"/>
          <w:color w:val="222222"/>
          <w:szCs w:val="22"/>
          <w:lang w:val="es-ES" w:eastAsia="en-CA"/>
        </w:rPr>
        <w:t>*</w:t>
      </w:r>
      <w:r w:rsidRPr="00D96249">
        <w:rPr>
          <w:rFonts w:eastAsia="Times New Roman"/>
          <w:color w:val="222222"/>
          <w:szCs w:val="22"/>
          <w:lang w:val="es-ES_tradnl" w:eastAsia="en-CA"/>
        </w:rPr>
        <w:t>.</w:t>
      </w:r>
      <w:r w:rsidR="0031768F" w:rsidRPr="00440746">
        <w:rPr>
          <w:rFonts w:eastAsia="Times New Roman"/>
          <w:color w:val="222222"/>
          <w:szCs w:val="22"/>
          <w:lang w:val="es-ES" w:eastAsia="en-CA"/>
        </w:rPr>
        <w:t xml:space="preserve">  </w:t>
      </w:r>
      <w:r w:rsidRPr="00D96249">
        <w:rPr>
          <w:rFonts w:eastAsia="Times New Roman"/>
          <w:color w:val="222222"/>
          <w:szCs w:val="22"/>
          <w:lang w:val="es-ES_tradnl" w:eastAsia="en-CA"/>
        </w:rPr>
        <w:t>Cambio de nombre de s</w:t>
      </w:r>
      <w:r w:rsidR="00BE62C8">
        <w:rPr>
          <w:rFonts w:eastAsia="Times New Roman"/>
          <w:color w:val="222222"/>
          <w:szCs w:val="22"/>
          <w:lang w:val="es-ES_tradnl" w:eastAsia="en-CA"/>
        </w:rPr>
        <w:t xml:space="preserve">olicitante o titular, inscrito </w:t>
      </w:r>
      <w:r w:rsidRPr="00D96249">
        <w:rPr>
          <w:rFonts w:eastAsia="Times New Roman"/>
          <w:color w:val="222222"/>
          <w:szCs w:val="22"/>
          <w:lang w:val="es-ES_tradnl" w:eastAsia="en-CA"/>
        </w:rPr>
        <w:t xml:space="preserve">(La OPI ha inscrito un cambio en el nombre del </w:t>
      </w:r>
      <w:r w:rsidR="00BE62C8">
        <w:rPr>
          <w:rFonts w:eastAsia="Times New Roman"/>
          <w:color w:val="222222"/>
          <w:szCs w:val="22"/>
          <w:lang w:val="es-ES_tradnl" w:eastAsia="en-CA"/>
        </w:rPr>
        <w:t xml:space="preserve">solicitante o </w:t>
      </w:r>
      <w:r w:rsidRPr="00D96249">
        <w:rPr>
          <w:rFonts w:eastAsia="Times New Roman"/>
          <w:color w:val="222222"/>
          <w:szCs w:val="22"/>
          <w:lang w:val="es-ES_tradnl" w:eastAsia="en-CA"/>
        </w:rPr>
        <w:t xml:space="preserve">solicitantes o del titular o titulares de la solicitud </w:t>
      </w:r>
      <w:r w:rsidR="00BE62C8">
        <w:rPr>
          <w:rFonts w:eastAsia="Times New Roman"/>
          <w:color w:val="222222"/>
          <w:szCs w:val="22"/>
          <w:lang w:val="es-ES_tradnl" w:eastAsia="en-CA"/>
        </w:rPr>
        <w:t>o del derecho de PI</w:t>
      </w:r>
      <w:r w:rsidRPr="00BE62C8">
        <w:rPr>
          <w:rFonts w:eastAsia="Times New Roman"/>
          <w:strike/>
          <w:color w:val="222222"/>
          <w:szCs w:val="22"/>
          <w:lang w:val="es-ES_tradnl" w:eastAsia="en-CA"/>
        </w:rPr>
        <w:t>).</w:t>
      </w:r>
      <w:r w:rsidR="00BE62C8">
        <w:rPr>
          <w:rFonts w:eastAsia="Times New Roman"/>
          <w:color w:val="222222"/>
          <w:szCs w:val="22"/>
          <w:lang w:val="es-ES_tradnl" w:eastAsia="en-CA"/>
        </w:rPr>
        <w:t xml:space="preserve"> </w:t>
      </w:r>
      <w:r w:rsidR="00BE62C8" w:rsidRPr="00BE62C8">
        <w:rPr>
          <w:rFonts w:eastAsia="Times New Roman"/>
          <w:color w:val="222222"/>
          <w:szCs w:val="22"/>
          <w:u w:val="single"/>
          <w:lang w:val="es-ES_tradnl" w:eastAsia="en-CA"/>
        </w:rPr>
        <w:t>que no indica</w:t>
      </w:r>
      <w:r w:rsidRPr="00BE62C8">
        <w:rPr>
          <w:rFonts w:eastAsia="Times New Roman"/>
          <w:color w:val="222222"/>
          <w:szCs w:val="22"/>
          <w:u w:val="single"/>
          <w:lang w:val="es-ES_tradnl" w:eastAsia="en-CA"/>
        </w:rPr>
        <w:t xml:space="preserve"> </w:t>
      </w:r>
      <w:r w:rsidR="00BE62C8" w:rsidRPr="00BE62C8">
        <w:rPr>
          <w:rFonts w:eastAsia="Times New Roman"/>
          <w:color w:val="222222"/>
          <w:szCs w:val="22"/>
          <w:u w:val="single"/>
          <w:lang w:val="es-ES_tradnl" w:eastAsia="en-CA"/>
        </w:rPr>
        <w:t>un</w:t>
      </w:r>
      <w:r w:rsidRPr="00BE62C8">
        <w:rPr>
          <w:rFonts w:eastAsia="Times New Roman"/>
          <w:color w:val="222222"/>
          <w:szCs w:val="22"/>
          <w:u w:val="single"/>
          <w:lang w:val="es-ES_tradnl" w:eastAsia="en-CA"/>
        </w:rPr>
        <w:t>a transferencia</w:t>
      </w:r>
      <w:r w:rsidRPr="00D96249">
        <w:rPr>
          <w:rFonts w:eastAsia="Times New Roman"/>
          <w:color w:val="222222"/>
          <w:szCs w:val="22"/>
          <w:lang w:val="es-ES_tradnl" w:eastAsia="en-CA"/>
        </w:rPr>
        <w:t xml:space="preserve">. </w:t>
      </w:r>
      <w:r w:rsidRPr="009159EC">
        <w:rPr>
          <w:rFonts w:eastAsia="Times New Roman"/>
          <w:color w:val="222222"/>
          <w:szCs w:val="22"/>
          <w:u w:val="single"/>
          <w:lang w:val="es-ES_tradnl" w:eastAsia="en-CA"/>
        </w:rPr>
        <w:t xml:space="preserve">Las razones más </w:t>
      </w:r>
      <w:r w:rsidR="00C051A1">
        <w:rPr>
          <w:rFonts w:eastAsia="Times New Roman"/>
          <w:color w:val="222222"/>
          <w:szCs w:val="22"/>
          <w:u w:val="single"/>
          <w:lang w:val="es-ES_tradnl" w:eastAsia="en-CA"/>
        </w:rPr>
        <w:t>frecuentes</w:t>
      </w:r>
      <w:r w:rsidRPr="009159EC">
        <w:rPr>
          <w:rFonts w:eastAsia="Times New Roman"/>
          <w:color w:val="222222"/>
          <w:szCs w:val="22"/>
          <w:u w:val="single"/>
          <w:lang w:val="es-ES_tradnl" w:eastAsia="en-CA"/>
        </w:rPr>
        <w:t xml:space="preserve"> para este tipo de cambio son las correcciones de nombres</w:t>
      </w:r>
      <w:r w:rsidR="00BE62C8" w:rsidRPr="009159EC">
        <w:rPr>
          <w:rFonts w:eastAsia="Times New Roman"/>
          <w:color w:val="222222"/>
          <w:szCs w:val="22"/>
          <w:u w:val="single"/>
          <w:lang w:val="es-ES_tradnl" w:eastAsia="en-CA"/>
        </w:rPr>
        <w:t>,</w:t>
      </w:r>
      <w:r w:rsidRPr="009159EC">
        <w:rPr>
          <w:rFonts w:eastAsia="Times New Roman"/>
          <w:color w:val="222222"/>
          <w:szCs w:val="22"/>
          <w:u w:val="single"/>
          <w:lang w:val="es-ES_tradnl" w:eastAsia="en-CA"/>
        </w:rPr>
        <w:t xml:space="preserve"> </w:t>
      </w:r>
      <w:r w:rsidR="00BE62C8" w:rsidRPr="009159EC">
        <w:rPr>
          <w:rFonts w:eastAsia="Times New Roman"/>
          <w:color w:val="222222"/>
          <w:szCs w:val="22"/>
          <w:u w:val="single"/>
          <w:lang w:val="es-ES_tradnl" w:eastAsia="en-CA"/>
        </w:rPr>
        <w:t>errores ortográficos</w:t>
      </w:r>
      <w:r w:rsidRPr="009159EC">
        <w:rPr>
          <w:rFonts w:eastAsia="Times New Roman"/>
          <w:color w:val="222222"/>
          <w:szCs w:val="22"/>
          <w:u w:val="single"/>
          <w:lang w:val="es-ES_tradnl" w:eastAsia="en-CA"/>
        </w:rPr>
        <w:t xml:space="preserve"> o cambios de </w:t>
      </w:r>
      <w:r w:rsidR="009159EC" w:rsidRPr="009159EC">
        <w:rPr>
          <w:rFonts w:eastAsia="Times New Roman"/>
          <w:color w:val="222222"/>
          <w:szCs w:val="22"/>
          <w:u w:val="single"/>
          <w:lang w:val="es-ES_tradnl" w:eastAsia="en-CA"/>
        </w:rPr>
        <w:t>denominación jurídica</w:t>
      </w:r>
      <w:r w:rsidRPr="009159EC">
        <w:rPr>
          <w:rFonts w:eastAsia="Times New Roman"/>
          <w:color w:val="222222"/>
          <w:szCs w:val="22"/>
          <w:u w:val="single"/>
          <w:lang w:val="es-ES_tradnl" w:eastAsia="en-CA"/>
        </w:rPr>
        <w:t>, como una fusión de empresa</w:t>
      </w:r>
      <w:r w:rsidR="00C051A1">
        <w:rPr>
          <w:rFonts w:eastAsia="Times New Roman"/>
          <w:color w:val="222222"/>
          <w:szCs w:val="22"/>
          <w:u w:val="single"/>
          <w:lang w:val="es-ES_tradnl" w:eastAsia="en-CA"/>
        </w:rPr>
        <w:t>s.</w:t>
      </w:r>
      <w:r w:rsidRPr="00D96249">
        <w:rPr>
          <w:rFonts w:eastAsia="Times New Roman"/>
          <w:color w:val="222222"/>
          <w:szCs w:val="22"/>
          <w:lang w:val="es-ES_tradnl" w:eastAsia="en-CA"/>
        </w:rPr>
        <w:t>)</w:t>
      </w:r>
    </w:p>
    <w:p w14:paraId="5B8DC9D5" w14:textId="7B4B6C53" w:rsidR="001322CF" w:rsidRDefault="00D96249" w:rsidP="00FB0E1F">
      <w:pPr>
        <w:keepLines/>
        <w:shd w:val="clear" w:color="auto" w:fill="FFFFFF"/>
        <w:spacing w:after="220"/>
        <w:ind w:left="1124" w:hanging="562"/>
        <w:rPr>
          <w:rFonts w:eastAsia="Times New Roman"/>
          <w:color w:val="222222"/>
          <w:szCs w:val="22"/>
          <w:lang w:val="es-ES_tradnl" w:eastAsia="en-CA"/>
        </w:rPr>
      </w:pPr>
      <w:r w:rsidRPr="00D96249">
        <w:rPr>
          <w:rFonts w:eastAsia="Times New Roman"/>
          <w:color w:val="222222"/>
          <w:szCs w:val="22"/>
          <w:lang w:val="es-ES_tradnl" w:eastAsia="en-CA"/>
        </w:rPr>
        <w:t>R14</w:t>
      </w:r>
      <w:r w:rsidR="00BE62C8" w:rsidRPr="008C3C5A">
        <w:rPr>
          <w:rFonts w:eastAsia="Times New Roman"/>
          <w:color w:val="222222"/>
          <w:szCs w:val="22"/>
          <w:lang w:val="es-ES" w:eastAsia="en-CA"/>
        </w:rPr>
        <w:t>*</w:t>
      </w:r>
      <w:r w:rsidRPr="00D96249">
        <w:rPr>
          <w:rFonts w:eastAsia="Times New Roman"/>
          <w:color w:val="222222"/>
          <w:szCs w:val="22"/>
          <w:lang w:val="es-ES_tradnl" w:eastAsia="en-CA"/>
        </w:rPr>
        <w:t>.</w:t>
      </w:r>
      <w:r w:rsidR="0031768F" w:rsidRPr="00440746">
        <w:rPr>
          <w:rFonts w:eastAsia="Times New Roman"/>
          <w:color w:val="222222"/>
          <w:szCs w:val="22"/>
          <w:lang w:val="es-ES" w:eastAsia="en-CA"/>
        </w:rPr>
        <w:t xml:space="preserve">  </w:t>
      </w:r>
      <w:r w:rsidR="00FB0E1F" w:rsidRPr="00FB0E1F">
        <w:rPr>
          <w:rFonts w:eastAsia="Times New Roman"/>
          <w:color w:val="222222"/>
          <w:szCs w:val="22"/>
          <w:lang w:val="es-ES_tradnl" w:eastAsia="en-CA"/>
        </w:rPr>
        <w:t>Transferencia de titularidad, inscrita (La OPI ha inscrito una transferencia de titularidad</w:t>
      </w:r>
      <w:r w:rsidR="00FB0E1F" w:rsidRPr="009159EC">
        <w:rPr>
          <w:rFonts w:eastAsia="Times New Roman"/>
          <w:strike/>
          <w:color w:val="222222"/>
          <w:szCs w:val="22"/>
          <w:lang w:val="es-ES_tradnl" w:eastAsia="en-CA"/>
        </w:rPr>
        <w:t>,</w:t>
      </w:r>
      <w:r w:rsidR="00FB0E1F" w:rsidRPr="00FB0E1F">
        <w:rPr>
          <w:rFonts w:eastAsia="Times New Roman"/>
          <w:color w:val="222222"/>
          <w:szCs w:val="22"/>
          <w:lang w:val="es-ES_tradnl" w:eastAsia="en-CA"/>
        </w:rPr>
        <w:t xml:space="preserve"> </w:t>
      </w:r>
      <w:r w:rsidR="009159EC" w:rsidRPr="009159EC">
        <w:rPr>
          <w:rFonts w:eastAsia="Times New Roman"/>
          <w:color w:val="222222"/>
          <w:szCs w:val="22"/>
          <w:u w:val="single"/>
          <w:lang w:val="es-ES_tradnl" w:eastAsia="en-CA"/>
        </w:rPr>
        <w:t>o</w:t>
      </w:r>
      <w:r w:rsidR="009159EC">
        <w:rPr>
          <w:rFonts w:eastAsia="Times New Roman"/>
          <w:color w:val="222222"/>
          <w:szCs w:val="22"/>
          <w:lang w:val="es-ES_tradnl" w:eastAsia="en-CA"/>
        </w:rPr>
        <w:t xml:space="preserve"> </w:t>
      </w:r>
      <w:r w:rsidR="00FB0E1F" w:rsidRPr="00FB0E1F">
        <w:rPr>
          <w:rFonts w:eastAsia="Times New Roman"/>
          <w:color w:val="222222"/>
          <w:szCs w:val="22"/>
          <w:lang w:val="es-ES_tradnl" w:eastAsia="en-CA"/>
        </w:rPr>
        <w:t xml:space="preserve">una </w:t>
      </w:r>
      <w:r w:rsidR="009159EC" w:rsidRPr="009159EC">
        <w:rPr>
          <w:rFonts w:eastAsia="Times New Roman"/>
          <w:color w:val="222222"/>
          <w:szCs w:val="22"/>
          <w:u w:val="single"/>
          <w:lang w:val="es-ES_tradnl" w:eastAsia="en-CA"/>
        </w:rPr>
        <w:t>cesión</w:t>
      </w:r>
      <w:r w:rsidR="009159EC">
        <w:rPr>
          <w:rFonts w:eastAsia="Times New Roman"/>
          <w:color w:val="222222"/>
          <w:szCs w:val="22"/>
          <w:lang w:val="es-ES_tradnl" w:eastAsia="en-CA"/>
        </w:rPr>
        <w:t xml:space="preserve"> </w:t>
      </w:r>
      <w:r w:rsidR="00FB0E1F" w:rsidRPr="009159EC">
        <w:rPr>
          <w:rFonts w:eastAsia="Times New Roman"/>
          <w:strike/>
          <w:color w:val="222222"/>
          <w:szCs w:val="22"/>
          <w:lang w:val="es-ES_tradnl" w:eastAsia="en-CA"/>
        </w:rPr>
        <w:t>asignación o un cambio en la composición del o de los solicitantes o del titular o titulares</w:t>
      </w:r>
      <w:r w:rsidR="00FB0E1F" w:rsidRPr="00FB0E1F">
        <w:rPr>
          <w:rFonts w:eastAsia="Times New Roman"/>
          <w:color w:val="222222"/>
          <w:szCs w:val="22"/>
          <w:lang w:val="es-ES_tradnl" w:eastAsia="en-CA"/>
        </w:rPr>
        <w:t xml:space="preserve"> de la solic</w:t>
      </w:r>
      <w:r w:rsidR="009159EC">
        <w:rPr>
          <w:rFonts w:eastAsia="Times New Roman"/>
          <w:color w:val="222222"/>
          <w:szCs w:val="22"/>
          <w:lang w:val="es-ES_tradnl" w:eastAsia="en-CA"/>
        </w:rPr>
        <w:t xml:space="preserve">itud o del derecho de PI.) </w:t>
      </w:r>
      <w:r w:rsidR="009159EC" w:rsidRPr="009159EC">
        <w:rPr>
          <w:rFonts w:eastAsia="Times New Roman"/>
          <w:color w:val="222222"/>
          <w:szCs w:val="22"/>
          <w:u w:val="single"/>
          <w:lang w:val="es-ES_tradnl" w:eastAsia="en-CA"/>
        </w:rPr>
        <w:t>Esta incidencia</w:t>
      </w:r>
      <w:r w:rsidR="00FB0E1F" w:rsidRPr="009159EC">
        <w:rPr>
          <w:rFonts w:eastAsia="Times New Roman"/>
          <w:color w:val="222222"/>
          <w:szCs w:val="22"/>
          <w:u w:val="single"/>
          <w:lang w:val="es-ES_tradnl" w:eastAsia="en-CA"/>
        </w:rPr>
        <w:t xml:space="preserve"> indica que una de </w:t>
      </w:r>
      <w:r w:rsidR="009159EC" w:rsidRPr="009159EC">
        <w:rPr>
          <w:rFonts w:eastAsia="Times New Roman"/>
          <w:color w:val="222222"/>
          <w:szCs w:val="22"/>
          <w:u w:val="single"/>
          <w:lang w:val="es-ES_tradnl" w:eastAsia="en-CA"/>
        </w:rPr>
        <w:t xml:space="preserve">las partes otorga el interés a </w:t>
      </w:r>
      <w:r w:rsidR="009159EC">
        <w:rPr>
          <w:rFonts w:eastAsia="Times New Roman"/>
          <w:color w:val="222222"/>
          <w:szCs w:val="22"/>
          <w:u w:val="single"/>
          <w:lang w:val="es-ES_tradnl" w:eastAsia="en-CA"/>
        </w:rPr>
        <w:t xml:space="preserve">la </w:t>
      </w:r>
      <w:r w:rsidR="009159EC" w:rsidRPr="009159EC">
        <w:rPr>
          <w:rFonts w:eastAsia="Times New Roman"/>
          <w:color w:val="222222"/>
          <w:szCs w:val="22"/>
          <w:u w:val="single"/>
          <w:lang w:val="es-ES_tradnl" w:eastAsia="en-CA"/>
        </w:rPr>
        <w:t>otra, p</w:t>
      </w:r>
      <w:r w:rsidR="00FB0E1F" w:rsidRPr="009159EC">
        <w:rPr>
          <w:rFonts w:eastAsia="Times New Roman"/>
          <w:color w:val="222222"/>
          <w:szCs w:val="22"/>
          <w:u w:val="single"/>
          <w:lang w:val="es-ES_tradnl" w:eastAsia="en-CA"/>
        </w:rPr>
        <w:t>or ejemplo</w:t>
      </w:r>
      <w:r w:rsidR="009159EC" w:rsidRPr="009159EC">
        <w:rPr>
          <w:rFonts w:eastAsia="Times New Roman"/>
          <w:color w:val="222222"/>
          <w:szCs w:val="22"/>
          <w:u w:val="single"/>
          <w:lang w:val="es-ES_tradnl" w:eastAsia="en-CA"/>
        </w:rPr>
        <w:t>,</w:t>
      </w:r>
      <w:r w:rsidR="00FB0E1F" w:rsidRPr="009159EC">
        <w:rPr>
          <w:rFonts w:eastAsia="Times New Roman"/>
          <w:color w:val="222222"/>
          <w:szCs w:val="22"/>
          <w:u w:val="single"/>
          <w:lang w:val="es-ES_tradnl" w:eastAsia="en-CA"/>
        </w:rPr>
        <w:t xml:space="preserve"> mediante un intercambio voluntario, una cesión o una obligación contractual.</w:t>
      </w:r>
      <w:r w:rsidR="00FB0E1F" w:rsidRPr="00FB0E1F">
        <w:rPr>
          <w:rFonts w:eastAsia="Times New Roman"/>
          <w:color w:val="222222"/>
          <w:szCs w:val="22"/>
          <w:lang w:val="es-ES_tradnl" w:eastAsia="en-CA"/>
        </w:rPr>
        <w:t>)</w:t>
      </w:r>
    </w:p>
    <w:p w14:paraId="290078FB" w14:textId="2A994086" w:rsidR="001322CF" w:rsidRPr="00D65E17" w:rsidRDefault="00A37584" w:rsidP="00894B06">
      <w:pPr>
        <w:numPr>
          <w:ilvl w:val="0"/>
          <w:numId w:val="5"/>
        </w:numPr>
        <w:tabs>
          <w:tab w:val="clear" w:pos="567"/>
        </w:tabs>
        <w:spacing w:after="120"/>
        <w:rPr>
          <w:szCs w:val="22"/>
          <w:lang w:val="es-ES"/>
        </w:rPr>
      </w:pPr>
      <w:r>
        <w:rPr>
          <w:szCs w:val="22"/>
          <w:lang w:val="es-ES_tradnl"/>
        </w:rPr>
        <w:t>Un miembro del E</w:t>
      </w:r>
      <w:r w:rsidR="00FB0E1F" w:rsidRPr="00FB0E1F">
        <w:rPr>
          <w:szCs w:val="22"/>
          <w:lang w:val="es-ES_tradnl"/>
        </w:rPr>
        <w:t xml:space="preserve">quipo </w:t>
      </w:r>
      <w:r>
        <w:rPr>
          <w:szCs w:val="22"/>
          <w:lang w:val="es-ES_tradnl"/>
        </w:rPr>
        <w:t>T</w:t>
      </w:r>
      <w:r w:rsidR="00FB0E1F" w:rsidRPr="00FB0E1F">
        <w:rPr>
          <w:szCs w:val="22"/>
          <w:lang w:val="es-ES_tradnl"/>
        </w:rPr>
        <w:t xml:space="preserve">écnico propuso </w:t>
      </w:r>
      <w:r w:rsidR="004D27EA">
        <w:rPr>
          <w:szCs w:val="22"/>
          <w:lang w:val="es-ES_tradnl"/>
        </w:rPr>
        <w:t>una nueva incidencia</w:t>
      </w:r>
      <w:r w:rsidR="00FB0E1F" w:rsidRPr="00FB0E1F">
        <w:rPr>
          <w:szCs w:val="22"/>
          <w:lang w:val="es-ES_tradnl"/>
        </w:rPr>
        <w:t xml:space="preserve"> para inscribir el momento de la entrada en vigor de un certificado complementario de protección (CCP).</w:t>
      </w:r>
      <w:r w:rsidR="001A2212" w:rsidRPr="00440746">
        <w:rPr>
          <w:szCs w:val="22"/>
          <w:lang w:val="es-ES"/>
        </w:rPr>
        <w:t xml:space="preserve"> </w:t>
      </w:r>
      <w:r w:rsidR="00894B06">
        <w:rPr>
          <w:szCs w:val="22"/>
          <w:lang w:val="es-ES"/>
        </w:rPr>
        <w:t xml:space="preserve">El Equipo Técnico consideró que esta incidencia sería útil puesto que varias OPI han comunicado que tienen una incidencia nacional para esa situación en su respuesta a la encuesta de CCP y de las prórrogas de la vigencia de las patentes en relación con la Parte 7 del Manual de la OMPI. </w:t>
      </w:r>
      <w:r w:rsidR="00FB0E1F" w:rsidRPr="00FB0E1F">
        <w:rPr>
          <w:szCs w:val="22"/>
          <w:lang w:val="es-ES_tradnl"/>
        </w:rPr>
        <w:t xml:space="preserve">El Equipo Técnico propone la siguiente nueva </w:t>
      </w:r>
      <w:r w:rsidR="00FB0E1F" w:rsidRPr="00D65E17">
        <w:rPr>
          <w:szCs w:val="22"/>
          <w:lang w:val="es-ES_tradnl"/>
        </w:rPr>
        <w:t>incidencia para la Norma ST.27 de la OMPI:</w:t>
      </w:r>
    </w:p>
    <w:p w14:paraId="4F9CFFDA" w14:textId="490AC7CB" w:rsidR="00894B06" w:rsidRDefault="00D65E17" w:rsidP="00FB0E1F">
      <w:pPr>
        <w:spacing w:after="200"/>
        <w:ind w:left="1134" w:hanging="567"/>
        <w:jc w:val="both"/>
        <w:rPr>
          <w:szCs w:val="22"/>
          <w:u w:val="single"/>
          <w:lang w:val="es-ES"/>
        </w:rPr>
      </w:pPr>
      <w:r w:rsidRPr="009412BF">
        <w:rPr>
          <w:szCs w:val="22"/>
          <w:u w:val="single"/>
          <w:lang w:val="es-ES_tradnl"/>
        </w:rPr>
        <w:t>F17</w:t>
      </w:r>
      <w:r w:rsidR="00FB0E1F" w:rsidRPr="009412BF">
        <w:rPr>
          <w:szCs w:val="22"/>
          <w:u w:val="single"/>
          <w:lang w:val="es-ES_tradnl"/>
        </w:rPr>
        <w:t>.</w:t>
      </w:r>
      <w:r w:rsidR="001A2212" w:rsidRPr="009412BF">
        <w:rPr>
          <w:szCs w:val="22"/>
          <w:u w:val="single"/>
          <w:lang w:val="es-ES"/>
        </w:rPr>
        <w:tab/>
      </w:r>
      <w:r w:rsidR="00FB0E1F" w:rsidRPr="009412BF">
        <w:rPr>
          <w:szCs w:val="22"/>
          <w:u w:val="single"/>
          <w:lang w:val="es-ES_tradnl"/>
        </w:rPr>
        <w:t xml:space="preserve">El derecho de PI </w:t>
      </w:r>
      <w:r w:rsidR="00C051A1">
        <w:rPr>
          <w:szCs w:val="22"/>
          <w:u w:val="single"/>
          <w:lang w:val="es-ES_tradnl"/>
        </w:rPr>
        <w:t>ha entrado</w:t>
      </w:r>
      <w:r w:rsidR="00FB0E1F" w:rsidRPr="009412BF">
        <w:rPr>
          <w:szCs w:val="22"/>
          <w:u w:val="single"/>
          <w:lang w:val="es-ES_tradnl"/>
        </w:rPr>
        <w:t xml:space="preserve"> en vigor.</w:t>
      </w:r>
      <w:r w:rsidR="001A2212" w:rsidRPr="009412BF">
        <w:rPr>
          <w:szCs w:val="22"/>
          <w:u w:val="single"/>
          <w:lang w:val="es-ES"/>
        </w:rPr>
        <w:t> (</w:t>
      </w:r>
      <w:r w:rsidR="00894B06">
        <w:rPr>
          <w:szCs w:val="22"/>
          <w:u w:val="single"/>
          <w:lang w:val="es-ES"/>
        </w:rPr>
        <w:t>Esta incidencia corresponde a los derechos de PI que entran en vigor en fecha posterior a la concesión, como los CCP. Las Oficinas no tienen que utilizar esta incidencia cuando la concesión y la entrada en vigor tienen lugar al mismo tiempo, como en la concesión de patentes.)</w:t>
      </w:r>
    </w:p>
    <w:p w14:paraId="1BBB0466" w14:textId="17017B23" w:rsidR="001322CF" w:rsidRDefault="006D6A06" w:rsidP="00FB0E1F">
      <w:pPr>
        <w:numPr>
          <w:ilvl w:val="0"/>
          <w:numId w:val="5"/>
        </w:numPr>
        <w:tabs>
          <w:tab w:val="clear" w:pos="567"/>
        </w:tabs>
        <w:spacing w:after="220"/>
        <w:rPr>
          <w:szCs w:val="22"/>
          <w:lang w:val="es-ES"/>
        </w:rPr>
      </w:pPr>
      <w:r>
        <w:rPr>
          <w:rFonts w:eastAsia="Batang"/>
          <w:szCs w:val="22"/>
          <w:lang w:val="es-ES_tradnl" w:eastAsia="ko-KR"/>
        </w:rPr>
        <w:t xml:space="preserve">El Equipo Técnico </w:t>
      </w:r>
      <w:r w:rsidR="00FB0E1F" w:rsidRPr="00FB0E1F">
        <w:rPr>
          <w:rFonts w:eastAsia="Batang"/>
          <w:szCs w:val="22"/>
          <w:lang w:val="es-ES_tradnl" w:eastAsia="ko-KR"/>
        </w:rPr>
        <w:t xml:space="preserve">propone cambiar el nombre de </w:t>
      </w:r>
      <w:r w:rsidR="008D13EC">
        <w:rPr>
          <w:rFonts w:eastAsia="Batang"/>
          <w:szCs w:val="22"/>
          <w:lang w:val="es-ES_tradnl" w:eastAsia="ko-KR"/>
        </w:rPr>
        <w:t>la categoría S, de “Información sobre l</w:t>
      </w:r>
      <w:r w:rsidR="00FB0E1F" w:rsidRPr="00FB0E1F">
        <w:rPr>
          <w:rFonts w:eastAsia="Batang"/>
          <w:szCs w:val="22"/>
          <w:lang w:val="es-ES_tradnl" w:eastAsia="ko-KR"/>
        </w:rPr>
        <w:t>icencias</w:t>
      </w:r>
      <w:r w:rsidR="008D13EC">
        <w:rPr>
          <w:rFonts w:eastAsia="Batang"/>
          <w:szCs w:val="22"/>
          <w:lang w:val="es-ES_tradnl" w:eastAsia="ko-KR"/>
        </w:rPr>
        <w:t>”</w:t>
      </w:r>
      <w:r w:rsidR="00FB0E1F" w:rsidRPr="00FB0E1F">
        <w:rPr>
          <w:rFonts w:eastAsia="Batang"/>
          <w:szCs w:val="22"/>
          <w:lang w:val="es-ES_tradnl" w:eastAsia="ko-KR"/>
        </w:rPr>
        <w:t xml:space="preserve"> a </w:t>
      </w:r>
      <w:r w:rsidR="008D13EC">
        <w:rPr>
          <w:rFonts w:eastAsia="Batang"/>
          <w:szCs w:val="22"/>
          <w:lang w:val="es-ES_tradnl" w:eastAsia="ko-KR"/>
        </w:rPr>
        <w:t>“L</w:t>
      </w:r>
      <w:r w:rsidR="00FB0E1F" w:rsidRPr="00FB0E1F">
        <w:rPr>
          <w:rFonts w:eastAsia="Batang"/>
          <w:szCs w:val="22"/>
          <w:lang w:val="es-ES_tradnl" w:eastAsia="ko-KR"/>
        </w:rPr>
        <w:t>icencias y transacciones conexas</w:t>
      </w:r>
      <w:r w:rsidR="008D13EC">
        <w:rPr>
          <w:rFonts w:eastAsia="Batang"/>
          <w:szCs w:val="22"/>
          <w:lang w:val="es-ES_tradnl" w:eastAsia="ko-KR"/>
        </w:rPr>
        <w:t>”</w:t>
      </w:r>
      <w:r w:rsidR="00FB0E1F" w:rsidRPr="00FB0E1F">
        <w:rPr>
          <w:rFonts w:eastAsia="Batang"/>
          <w:szCs w:val="22"/>
          <w:lang w:val="es-ES_tradnl" w:eastAsia="ko-KR"/>
        </w:rPr>
        <w:t xml:space="preserve"> para reflejar </w:t>
      </w:r>
      <w:r w:rsidR="008D13EC">
        <w:rPr>
          <w:rFonts w:eastAsia="Batang"/>
          <w:szCs w:val="22"/>
          <w:lang w:val="es-ES_tradnl" w:eastAsia="ko-KR"/>
        </w:rPr>
        <w:t>más adecuadamente</w:t>
      </w:r>
      <w:r w:rsidR="00FB0E1F" w:rsidRPr="00FB0E1F">
        <w:rPr>
          <w:rFonts w:eastAsia="Batang"/>
          <w:szCs w:val="22"/>
          <w:lang w:val="es-ES_tradnl" w:eastAsia="ko-KR"/>
        </w:rPr>
        <w:t xml:space="preserve"> </w:t>
      </w:r>
      <w:r w:rsidR="008D13EC">
        <w:rPr>
          <w:rFonts w:eastAsia="Batang"/>
          <w:szCs w:val="22"/>
          <w:lang w:val="es-ES_tradnl" w:eastAsia="ko-KR"/>
        </w:rPr>
        <w:t xml:space="preserve">las incidencias </w:t>
      </w:r>
      <w:r w:rsidR="00FB0E1F" w:rsidRPr="00FB0E1F">
        <w:rPr>
          <w:rFonts w:eastAsia="Batang"/>
          <w:szCs w:val="22"/>
          <w:lang w:val="es-ES_tradnl" w:eastAsia="ko-KR"/>
        </w:rPr>
        <w:t>de la categoría S que no entrañan la concesión de licencias, como las garantías o los acuerdos de regalías.</w:t>
      </w:r>
      <w:r w:rsidR="008D13EC">
        <w:rPr>
          <w:rFonts w:eastAsia="Batang"/>
          <w:szCs w:val="22"/>
          <w:lang w:val="es-ES" w:eastAsia="ko-KR"/>
        </w:rPr>
        <w:t xml:space="preserve"> </w:t>
      </w:r>
      <w:r w:rsidR="00FB0E1F" w:rsidRPr="00FB0E1F">
        <w:rPr>
          <w:rFonts w:eastAsia="Batang"/>
          <w:szCs w:val="22"/>
          <w:lang w:val="es-ES_tradnl" w:eastAsia="ko-KR"/>
        </w:rPr>
        <w:t xml:space="preserve">El </w:t>
      </w:r>
      <w:r>
        <w:rPr>
          <w:rFonts w:eastAsia="Batang"/>
          <w:szCs w:val="22"/>
          <w:lang w:val="es-ES_tradnl" w:eastAsia="ko-KR"/>
        </w:rPr>
        <w:t>Equipo Técnico</w:t>
      </w:r>
      <w:r w:rsidR="00FB0E1F" w:rsidRPr="00FB0E1F">
        <w:rPr>
          <w:rFonts w:eastAsia="Batang"/>
          <w:szCs w:val="22"/>
          <w:lang w:val="es-ES_tradnl" w:eastAsia="ko-KR"/>
        </w:rPr>
        <w:t xml:space="preserve"> también consideró la posibilidad de reducir el número de </w:t>
      </w:r>
      <w:r w:rsidR="008D13EC">
        <w:rPr>
          <w:rFonts w:eastAsia="Batang"/>
          <w:szCs w:val="22"/>
          <w:lang w:val="es-ES_tradnl" w:eastAsia="ko-KR"/>
        </w:rPr>
        <w:t>incidencias d</w:t>
      </w:r>
      <w:r w:rsidR="00FB0E1F" w:rsidRPr="00FB0E1F">
        <w:rPr>
          <w:rFonts w:eastAsia="Batang"/>
          <w:szCs w:val="22"/>
          <w:lang w:val="es-ES_tradnl" w:eastAsia="ko-KR"/>
        </w:rPr>
        <w:t>e la categoría S</w:t>
      </w:r>
      <w:r w:rsidR="008D13EC">
        <w:rPr>
          <w:rFonts w:eastAsia="Batang"/>
          <w:szCs w:val="22"/>
          <w:lang w:val="es-ES_tradnl" w:eastAsia="ko-KR"/>
        </w:rPr>
        <w:t>, ya que algunas distinciones entre</w:t>
      </w:r>
      <w:r w:rsidR="00FB0E1F" w:rsidRPr="00FB0E1F">
        <w:rPr>
          <w:rFonts w:eastAsia="Batang"/>
          <w:szCs w:val="22"/>
          <w:lang w:val="es-ES_tradnl" w:eastAsia="ko-KR"/>
        </w:rPr>
        <w:t xml:space="preserve"> </w:t>
      </w:r>
      <w:r w:rsidR="008D13EC">
        <w:rPr>
          <w:rFonts w:eastAsia="Batang"/>
          <w:szCs w:val="22"/>
          <w:lang w:val="es-ES_tradnl" w:eastAsia="ko-KR"/>
        </w:rPr>
        <w:t>las incidencias</w:t>
      </w:r>
      <w:r w:rsidR="00FB0E1F" w:rsidRPr="00FB0E1F">
        <w:rPr>
          <w:rFonts w:eastAsia="Batang"/>
          <w:szCs w:val="22"/>
          <w:lang w:val="es-ES_tradnl" w:eastAsia="ko-KR"/>
        </w:rPr>
        <w:t xml:space="preserve"> </w:t>
      </w:r>
      <w:r w:rsidR="008D13EC">
        <w:rPr>
          <w:rFonts w:eastAsia="Batang"/>
          <w:szCs w:val="22"/>
          <w:lang w:val="es-ES_tradnl" w:eastAsia="ko-KR"/>
        </w:rPr>
        <w:t xml:space="preserve">que guardan relación con las </w:t>
      </w:r>
      <w:r w:rsidR="00FB0E1F" w:rsidRPr="00FB0E1F">
        <w:rPr>
          <w:rFonts w:eastAsia="Batang"/>
          <w:szCs w:val="22"/>
          <w:lang w:val="es-ES_tradnl" w:eastAsia="ko-KR"/>
        </w:rPr>
        <w:t>licencias pod</w:t>
      </w:r>
      <w:r w:rsidR="008D13EC">
        <w:rPr>
          <w:rFonts w:eastAsia="Batang"/>
          <w:szCs w:val="22"/>
          <w:lang w:val="es-ES_tradnl" w:eastAsia="ko-KR"/>
        </w:rPr>
        <w:t>r</w:t>
      </w:r>
      <w:r w:rsidR="00FB0E1F" w:rsidRPr="00FB0E1F">
        <w:rPr>
          <w:rFonts w:eastAsia="Batang"/>
          <w:szCs w:val="22"/>
          <w:lang w:val="es-ES_tradnl" w:eastAsia="ko-KR"/>
        </w:rPr>
        <w:t xml:space="preserve">ían </w:t>
      </w:r>
      <w:r w:rsidR="008D13EC">
        <w:rPr>
          <w:rFonts w:eastAsia="Batang"/>
          <w:szCs w:val="22"/>
          <w:lang w:val="es-ES_tradnl" w:eastAsia="ko-KR"/>
        </w:rPr>
        <w:t>inscribirse</w:t>
      </w:r>
      <w:r w:rsidR="00FB0E1F" w:rsidRPr="00FB0E1F">
        <w:rPr>
          <w:rFonts w:eastAsia="Batang"/>
          <w:szCs w:val="22"/>
          <w:lang w:val="es-ES_tradnl" w:eastAsia="ko-KR"/>
        </w:rPr>
        <w:t xml:space="preserve"> </w:t>
      </w:r>
      <w:r w:rsidR="008D13EC">
        <w:rPr>
          <w:rFonts w:eastAsia="Batang"/>
          <w:szCs w:val="22"/>
          <w:lang w:val="es-ES_tradnl" w:eastAsia="ko-KR"/>
        </w:rPr>
        <w:t xml:space="preserve">más adecuadamente </w:t>
      </w:r>
      <w:r w:rsidR="00FB0E1F" w:rsidRPr="00FB0E1F">
        <w:rPr>
          <w:rFonts w:eastAsia="Batang"/>
          <w:szCs w:val="22"/>
          <w:lang w:val="es-ES_tradnl" w:eastAsia="ko-KR"/>
        </w:rPr>
        <w:t>como datos complementarios.</w:t>
      </w:r>
      <w:r w:rsidR="00AA65C5" w:rsidRPr="00440746">
        <w:rPr>
          <w:rFonts w:eastAsia="Batang"/>
          <w:szCs w:val="22"/>
          <w:lang w:val="es-ES" w:eastAsia="ko-KR"/>
        </w:rPr>
        <w:t xml:space="preserve"> </w:t>
      </w:r>
      <w:r w:rsidR="00FB0E1F" w:rsidRPr="00FB0E1F">
        <w:rPr>
          <w:rFonts w:eastAsia="Batang"/>
          <w:szCs w:val="22"/>
          <w:lang w:val="es-ES_tradnl" w:eastAsia="ko-KR"/>
        </w:rPr>
        <w:t>Es necesario realizar más estudios antes de que pueda formularse una propuesta.</w:t>
      </w:r>
    </w:p>
    <w:p w14:paraId="6EEE298B" w14:textId="01AFF5F4" w:rsidR="001322CF" w:rsidRDefault="00FB0E1F" w:rsidP="00FB0E1F">
      <w:pPr>
        <w:spacing w:after="120"/>
        <w:rPr>
          <w:szCs w:val="22"/>
          <w:lang w:val="es-ES"/>
        </w:rPr>
      </w:pPr>
      <w:r w:rsidRPr="00FB0E1F">
        <w:rPr>
          <w:szCs w:val="22"/>
          <w:lang w:val="es-ES_tradnl"/>
        </w:rPr>
        <w:t>NUEVO ANEXO V DE LA NORMA ST.27 DE LA OMPI</w:t>
      </w:r>
    </w:p>
    <w:p w14:paraId="7C7E0431" w14:textId="34737635" w:rsidR="001322CF" w:rsidRDefault="00FB0E1F" w:rsidP="00FB0E1F">
      <w:pPr>
        <w:numPr>
          <w:ilvl w:val="0"/>
          <w:numId w:val="5"/>
        </w:numPr>
        <w:tabs>
          <w:tab w:val="clear" w:pos="567"/>
        </w:tabs>
        <w:spacing w:after="220"/>
        <w:rPr>
          <w:szCs w:val="22"/>
          <w:lang w:val="es-ES"/>
        </w:rPr>
      </w:pPr>
      <w:r w:rsidRPr="00FB0E1F">
        <w:rPr>
          <w:szCs w:val="22"/>
          <w:lang w:val="es-ES_tradnl"/>
        </w:rPr>
        <w:t>Tras la decisión adoptada en la sexta sesión del CWS, el Equipo Técnico trabajó en la preparación de una propuesta final para el documento de orientación.</w:t>
      </w:r>
      <w:r w:rsidR="008D13EC">
        <w:rPr>
          <w:szCs w:val="22"/>
          <w:lang w:val="es-ES"/>
        </w:rPr>
        <w:t xml:space="preserve"> </w:t>
      </w:r>
      <w:r w:rsidRPr="00FB0E1F">
        <w:rPr>
          <w:szCs w:val="22"/>
          <w:lang w:val="es-ES_tradnl"/>
        </w:rPr>
        <w:t>El Equipo Técnico preparó un</w:t>
      </w:r>
      <w:r w:rsidR="008D13EC">
        <w:rPr>
          <w:szCs w:val="22"/>
          <w:lang w:val="es-ES_tradnl"/>
        </w:rPr>
        <w:t>a nueva serie</w:t>
      </w:r>
      <w:r w:rsidRPr="00FB0E1F">
        <w:rPr>
          <w:szCs w:val="22"/>
          <w:lang w:val="es-ES_tradnl"/>
        </w:rPr>
        <w:t xml:space="preserve"> de ejemplos para ayudar a las </w:t>
      </w:r>
      <w:r w:rsidR="008D13EC">
        <w:rPr>
          <w:szCs w:val="22"/>
          <w:lang w:val="es-ES_tradnl"/>
        </w:rPr>
        <w:t>OPI</w:t>
      </w:r>
      <w:r w:rsidRPr="00FB0E1F">
        <w:rPr>
          <w:szCs w:val="22"/>
          <w:lang w:val="es-ES_tradnl"/>
        </w:rPr>
        <w:t xml:space="preserve"> y </w:t>
      </w:r>
      <w:r w:rsidR="008D13EC">
        <w:rPr>
          <w:szCs w:val="22"/>
          <w:lang w:val="es-ES_tradnl"/>
        </w:rPr>
        <w:t xml:space="preserve">a </w:t>
      </w:r>
      <w:r w:rsidRPr="00FB0E1F">
        <w:rPr>
          <w:szCs w:val="22"/>
          <w:lang w:val="es-ES_tradnl"/>
        </w:rPr>
        <w:t xml:space="preserve">otras partes interesadas a comprender </w:t>
      </w:r>
      <w:r w:rsidR="008D13EC">
        <w:rPr>
          <w:szCs w:val="22"/>
          <w:lang w:val="es-ES_tradnl"/>
        </w:rPr>
        <w:t xml:space="preserve">la manera de </w:t>
      </w:r>
      <w:r w:rsidRPr="00FB0E1F">
        <w:rPr>
          <w:szCs w:val="22"/>
          <w:lang w:val="es-ES_tradnl"/>
        </w:rPr>
        <w:t xml:space="preserve">utilizar </w:t>
      </w:r>
      <w:r w:rsidR="008D13EC">
        <w:rPr>
          <w:szCs w:val="22"/>
          <w:lang w:val="es-ES_tradnl"/>
        </w:rPr>
        <w:t xml:space="preserve">la Norma </w:t>
      </w:r>
      <w:r w:rsidRPr="00FB0E1F">
        <w:rPr>
          <w:szCs w:val="22"/>
          <w:lang w:val="es-ES_tradnl"/>
        </w:rPr>
        <w:t>ST</w:t>
      </w:r>
      <w:r w:rsidR="008D13EC">
        <w:rPr>
          <w:szCs w:val="22"/>
          <w:lang w:val="es-ES_tradnl"/>
        </w:rPr>
        <w:t>.27. L</w:t>
      </w:r>
      <w:r w:rsidRPr="00FB0E1F">
        <w:rPr>
          <w:szCs w:val="22"/>
          <w:lang w:val="es-ES_tradnl"/>
        </w:rPr>
        <w:t>os nuevos ejemp</w:t>
      </w:r>
      <w:r w:rsidR="00E1482E">
        <w:rPr>
          <w:szCs w:val="22"/>
          <w:lang w:val="es-ES_tradnl"/>
        </w:rPr>
        <w:t xml:space="preserve">los se prepararon en torno a una serie </w:t>
      </w:r>
      <w:r w:rsidRPr="00FB0E1F">
        <w:rPr>
          <w:szCs w:val="22"/>
          <w:lang w:val="es-ES_tradnl"/>
        </w:rPr>
        <w:t xml:space="preserve">de </w:t>
      </w:r>
      <w:r w:rsidR="008D13EC">
        <w:rPr>
          <w:szCs w:val="22"/>
          <w:lang w:val="es-ES_tradnl"/>
        </w:rPr>
        <w:t xml:space="preserve">casos </w:t>
      </w:r>
      <w:r w:rsidR="00A54719">
        <w:rPr>
          <w:szCs w:val="22"/>
          <w:lang w:val="es-ES_tradnl"/>
        </w:rPr>
        <w:t>frecuentes</w:t>
      </w:r>
      <w:r w:rsidRPr="00FB0E1F">
        <w:rPr>
          <w:szCs w:val="22"/>
          <w:lang w:val="es-ES_tradnl"/>
        </w:rPr>
        <w:t xml:space="preserve"> </w:t>
      </w:r>
      <w:r w:rsidR="008D13EC">
        <w:rPr>
          <w:szCs w:val="22"/>
          <w:lang w:val="es-ES_tradnl"/>
        </w:rPr>
        <w:t xml:space="preserve">señalados </w:t>
      </w:r>
      <w:r w:rsidRPr="00FB0E1F">
        <w:rPr>
          <w:szCs w:val="22"/>
          <w:lang w:val="es-ES_tradnl"/>
        </w:rPr>
        <w:t xml:space="preserve">por el Equipo Técnico, con ejemplos de cada </w:t>
      </w:r>
      <w:r w:rsidR="008D13EC">
        <w:rPr>
          <w:szCs w:val="22"/>
          <w:lang w:val="es-ES_tradnl"/>
        </w:rPr>
        <w:t>caso facilitados</w:t>
      </w:r>
      <w:r w:rsidRPr="00FB0E1F">
        <w:rPr>
          <w:szCs w:val="22"/>
          <w:lang w:val="es-ES_tradnl"/>
        </w:rPr>
        <w:t xml:space="preserve"> por varias Oficinas.</w:t>
      </w:r>
      <w:r w:rsidR="008D13EC">
        <w:rPr>
          <w:szCs w:val="22"/>
          <w:lang w:val="es-ES"/>
        </w:rPr>
        <w:t xml:space="preserve"> </w:t>
      </w:r>
      <w:r w:rsidRPr="00FB0E1F">
        <w:rPr>
          <w:szCs w:val="22"/>
          <w:lang w:val="es-ES_tradnl"/>
        </w:rPr>
        <w:t xml:space="preserve">Los ejemplos tienen por objeto mostrar </w:t>
      </w:r>
      <w:r w:rsidR="00E1482E">
        <w:rPr>
          <w:szCs w:val="22"/>
          <w:lang w:val="es-ES_tradnl"/>
        </w:rPr>
        <w:t>más adecuadamente</w:t>
      </w:r>
      <w:r w:rsidRPr="00FB0E1F">
        <w:rPr>
          <w:szCs w:val="22"/>
          <w:lang w:val="es-ES_tradnl"/>
        </w:rPr>
        <w:t xml:space="preserve"> la manera de establecer correspondencias entre las incidencias nacionales y las incidencias previstas en la Norma ST.27, así como la forma de transformar esas </w:t>
      </w:r>
      <w:r w:rsidR="008D13EC">
        <w:rPr>
          <w:szCs w:val="22"/>
          <w:lang w:val="es-ES_tradnl"/>
        </w:rPr>
        <w:t>correspondencias</w:t>
      </w:r>
      <w:r w:rsidRPr="00FB0E1F">
        <w:rPr>
          <w:szCs w:val="22"/>
          <w:lang w:val="es-ES_tradnl"/>
        </w:rPr>
        <w:t xml:space="preserve"> en un archivo de datos de la Norma ST.27 para su intercambio con otros.</w:t>
      </w:r>
    </w:p>
    <w:p w14:paraId="36F95BA1" w14:textId="1B8469CB" w:rsidR="001322CF" w:rsidRDefault="00FB0E1F" w:rsidP="006B78EA">
      <w:pPr>
        <w:keepNext/>
        <w:keepLines/>
        <w:numPr>
          <w:ilvl w:val="0"/>
          <w:numId w:val="5"/>
        </w:numPr>
        <w:tabs>
          <w:tab w:val="clear" w:pos="567"/>
        </w:tabs>
        <w:spacing w:after="220"/>
        <w:rPr>
          <w:szCs w:val="22"/>
          <w:lang w:val="es-ES"/>
        </w:rPr>
      </w:pPr>
      <w:r w:rsidRPr="00FB0E1F">
        <w:rPr>
          <w:szCs w:val="22"/>
          <w:lang w:val="es-ES_tradnl"/>
        </w:rPr>
        <w:t xml:space="preserve">Debido a la longitud y, en cierta medida, a la </w:t>
      </w:r>
      <w:r w:rsidR="008D13EC">
        <w:rPr>
          <w:szCs w:val="22"/>
          <w:lang w:val="es-ES_tradnl"/>
        </w:rPr>
        <w:t xml:space="preserve">distinta </w:t>
      </w:r>
      <w:r w:rsidRPr="00FB0E1F">
        <w:rPr>
          <w:szCs w:val="22"/>
          <w:lang w:val="es-ES_tradnl"/>
        </w:rPr>
        <w:t>finalidad de los nuevos ejemplos, se propone colocarlos en un nuevo Anexo de la Norma ST.27, en lugar de incorporarlos en el documento de orientación existente que figura en el Anexo V de</w:t>
      </w:r>
      <w:r w:rsidR="008D13EC">
        <w:rPr>
          <w:szCs w:val="22"/>
          <w:lang w:val="es-ES_tradnl"/>
        </w:rPr>
        <w:t xml:space="preserve"> </w:t>
      </w:r>
      <w:r w:rsidRPr="00FB0E1F">
        <w:rPr>
          <w:szCs w:val="22"/>
          <w:lang w:val="es-ES_tradnl"/>
        </w:rPr>
        <w:t>l</w:t>
      </w:r>
      <w:r w:rsidR="008D13EC">
        <w:rPr>
          <w:szCs w:val="22"/>
          <w:lang w:val="es-ES_tradnl"/>
        </w:rPr>
        <w:t>a</w:t>
      </w:r>
      <w:r w:rsidRPr="00FB0E1F">
        <w:rPr>
          <w:szCs w:val="22"/>
          <w:lang w:val="es-ES_tradnl"/>
        </w:rPr>
        <w:t xml:space="preserve"> </w:t>
      </w:r>
      <w:r w:rsidR="008D13EC">
        <w:rPr>
          <w:szCs w:val="22"/>
          <w:lang w:val="es-ES_tradnl"/>
        </w:rPr>
        <w:t xml:space="preserve">Norma </w:t>
      </w:r>
      <w:r w:rsidRPr="00FB0E1F">
        <w:rPr>
          <w:szCs w:val="22"/>
          <w:lang w:val="es-ES_tradnl"/>
        </w:rPr>
        <w:t>ST</w:t>
      </w:r>
      <w:r w:rsidR="008D13EC">
        <w:rPr>
          <w:szCs w:val="22"/>
          <w:lang w:val="es-ES_tradnl"/>
        </w:rPr>
        <w:t>.</w:t>
      </w:r>
      <w:r w:rsidRPr="00FB0E1F">
        <w:rPr>
          <w:szCs w:val="22"/>
          <w:lang w:val="es-ES_tradnl"/>
        </w:rPr>
        <w:t>27</w:t>
      </w:r>
      <w:r w:rsidR="008D13EC">
        <w:rPr>
          <w:szCs w:val="22"/>
          <w:lang w:val="es-ES_tradnl"/>
        </w:rPr>
        <w:t>. E</w:t>
      </w:r>
      <w:r w:rsidRPr="00FB0E1F">
        <w:rPr>
          <w:szCs w:val="22"/>
          <w:lang w:val="es-ES_tradnl"/>
        </w:rPr>
        <w:t>n el marco de esta propuesta</w:t>
      </w:r>
      <w:r w:rsidR="008D13EC">
        <w:rPr>
          <w:szCs w:val="22"/>
          <w:lang w:val="es-ES_tradnl"/>
        </w:rPr>
        <w:t>,</w:t>
      </w:r>
      <w:r w:rsidRPr="00FB0E1F">
        <w:rPr>
          <w:szCs w:val="22"/>
          <w:lang w:val="es-ES_tradnl"/>
        </w:rPr>
        <w:t xml:space="preserve"> </w:t>
      </w:r>
      <w:r w:rsidR="008D13EC">
        <w:rPr>
          <w:szCs w:val="22"/>
          <w:lang w:val="es-ES_tradnl"/>
        </w:rPr>
        <w:t>l</w:t>
      </w:r>
      <w:r w:rsidRPr="00FB0E1F">
        <w:rPr>
          <w:szCs w:val="22"/>
          <w:lang w:val="es-ES_tradnl"/>
        </w:rPr>
        <w:t>os nuevos ejemplos se insertarán</w:t>
      </w:r>
      <w:r w:rsidR="008D13EC">
        <w:rPr>
          <w:szCs w:val="22"/>
          <w:lang w:val="es-ES_tradnl"/>
        </w:rPr>
        <w:t xml:space="preserve"> en un nuevo Anexo V </w:t>
      </w:r>
      <w:r w:rsidR="00054321">
        <w:rPr>
          <w:szCs w:val="22"/>
          <w:lang w:val="es-ES_tradnl"/>
        </w:rPr>
        <w:t>que llevará el título</w:t>
      </w:r>
      <w:r w:rsidR="008D13EC">
        <w:rPr>
          <w:szCs w:val="22"/>
          <w:lang w:val="es-ES_tradnl"/>
        </w:rPr>
        <w:t xml:space="preserve"> “</w:t>
      </w:r>
      <w:r w:rsidRPr="00FB0E1F">
        <w:rPr>
          <w:szCs w:val="22"/>
          <w:lang w:val="es-ES_tradnl"/>
        </w:rPr>
        <w:t>Documento de orientac</w:t>
      </w:r>
      <w:r w:rsidR="008D13EC">
        <w:rPr>
          <w:szCs w:val="22"/>
          <w:lang w:val="es-ES_tradnl"/>
        </w:rPr>
        <w:t xml:space="preserve">ión sobre los casos </w:t>
      </w:r>
      <w:r w:rsidR="00A54719">
        <w:rPr>
          <w:szCs w:val="22"/>
          <w:lang w:val="es-ES_tradnl"/>
        </w:rPr>
        <w:t>frecuentes</w:t>
      </w:r>
      <w:r w:rsidRPr="00FB0E1F">
        <w:rPr>
          <w:szCs w:val="22"/>
          <w:lang w:val="es-ES_tradnl"/>
        </w:rPr>
        <w:t>”.</w:t>
      </w:r>
      <w:r w:rsidR="008D13EC">
        <w:rPr>
          <w:szCs w:val="22"/>
          <w:lang w:val="es-ES"/>
        </w:rPr>
        <w:t xml:space="preserve"> </w:t>
      </w:r>
      <w:r w:rsidRPr="00FB0E1F">
        <w:rPr>
          <w:szCs w:val="22"/>
          <w:lang w:val="es-ES_tradnl"/>
        </w:rPr>
        <w:t>El documento de orientación existente en el Anexo V pasará a se</w:t>
      </w:r>
      <w:r w:rsidR="008D13EC">
        <w:rPr>
          <w:szCs w:val="22"/>
          <w:lang w:val="es-ES_tradnl"/>
        </w:rPr>
        <w:t xml:space="preserve">r el Anexo VI </w:t>
      </w:r>
      <w:r w:rsidR="00054321">
        <w:rPr>
          <w:szCs w:val="22"/>
          <w:lang w:val="es-ES_tradnl"/>
        </w:rPr>
        <w:t>con el título</w:t>
      </w:r>
      <w:r w:rsidR="008D13EC">
        <w:rPr>
          <w:szCs w:val="22"/>
          <w:lang w:val="es-ES_tradnl"/>
        </w:rPr>
        <w:t xml:space="preserve"> “</w:t>
      </w:r>
      <w:r w:rsidRPr="00FB0E1F">
        <w:rPr>
          <w:szCs w:val="22"/>
          <w:lang w:val="es-ES_tradnl"/>
        </w:rPr>
        <w:t>Documen</w:t>
      </w:r>
      <w:r w:rsidR="008D13EC">
        <w:rPr>
          <w:szCs w:val="22"/>
          <w:lang w:val="es-ES_tradnl"/>
        </w:rPr>
        <w:t>to de orientación basado en categorías</w:t>
      </w:r>
      <w:r w:rsidRPr="00FB0E1F">
        <w:rPr>
          <w:szCs w:val="22"/>
          <w:lang w:val="es-ES_tradnl"/>
        </w:rPr>
        <w:t>”.</w:t>
      </w:r>
    </w:p>
    <w:p w14:paraId="1C45458F" w14:textId="073EA1D5" w:rsidR="001322CF" w:rsidRDefault="00FB0E1F" w:rsidP="00FB0E1F">
      <w:pPr>
        <w:numPr>
          <w:ilvl w:val="0"/>
          <w:numId w:val="5"/>
        </w:numPr>
        <w:tabs>
          <w:tab w:val="clear" w:pos="567"/>
        </w:tabs>
        <w:spacing w:after="220"/>
        <w:rPr>
          <w:szCs w:val="22"/>
          <w:lang w:val="es-ES"/>
        </w:rPr>
      </w:pPr>
      <w:r w:rsidRPr="00FB0E1F">
        <w:rPr>
          <w:szCs w:val="22"/>
          <w:lang w:val="es-ES_tradnl"/>
        </w:rPr>
        <w:t xml:space="preserve">El nuevo Anexo V propuesto de la Norma ST.27 se presenta </w:t>
      </w:r>
      <w:r w:rsidR="001A1042">
        <w:rPr>
          <w:szCs w:val="22"/>
          <w:lang w:val="es-ES_tradnl"/>
        </w:rPr>
        <w:t xml:space="preserve">en forma de </w:t>
      </w:r>
      <w:r w:rsidRPr="00FB0E1F">
        <w:rPr>
          <w:szCs w:val="22"/>
          <w:lang w:val="es-ES_tradnl"/>
        </w:rPr>
        <w:t>Anexo I del presente documento.</w:t>
      </w:r>
      <w:r w:rsidR="001A1042">
        <w:rPr>
          <w:szCs w:val="22"/>
          <w:lang w:val="es-ES"/>
        </w:rPr>
        <w:t xml:space="preserve"> </w:t>
      </w:r>
      <w:r w:rsidRPr="00FB0E1F">
        <w:rPr>
          <w:szCs w:val="22"/>
          <w:lang w:val="es-ES_tradnl"/>
        </w:rPr>
        <w:t xml:space="preserve">El actual Anexo V de la Norma ST.27 no tendrá cambios aparte de la </w:t>
      </w:r>
      <w:r w:rsidR="001A1042">
        <w:rPr>
          <w:szCs w:val="22"/>
          <w:lang w:val="es-ES_tradnl"/>
        </w:rPr>
        <w:t xml:space="preserve">nueva </w:t>
      </w:r>
      <w:r w:rsidRPr="00FB0E1F">
        <w:rPr>
          <w:szCs w:val="22"/>
          <w:lang w:val="es-ES_tradnl"/>
        </w:rPr>
        <w:t>numeración y el nuevo título.</w:t>
      </w:r>
      <w:r w:rsidR="001A1042">
        <w:rPr>
          <w:szCs w:val="22"/>
          <w:lang w:val="es-ES"/>
        </w:rPr>
        <w:t xml:space="preserve"> </w:t>
      </w:r>
      <w:r w:rsidRPr="00FB0E1F">
        <w:rPr>
          <w:szCs w:val="22"/>
          <w:lang w:val="es-ES_tradnl"/>
        </w:rPr>
        <w:t>Por lo tanto, no se somete a consideración del CWS.</w:t>
      </w:r>
    </w:p>
    <w:p w14:paraId="5C7A8634" w14:textId="569F773C" w:rsidR="001322CF" w:rsidRDefault="00FB0E1F" w:rsidP="00FB0E1F">
      <w:pPr>
        <w:spacing w:after="60"/>
        <w:rPr>
          <w:szCs w:val="22"/>
          <w:lang w:val="es-ES"/>
        </w:rPr>
      </w:pPr>
      <w:r w:rsidRPr="00FB0E1F">
        <w:rPr>
          <w:szCs w:val="22"/>
          <w:lang w:val="es-ES_tradnl"/>
        </w:rPr>
        <w:t>DEBATE</w:t>
      </w:r>
      <w:r w:rsidR="00E84471">
        <w:rPr>
          <w:szCs w:val="22"/>
          <w:lang w:val="es-ES_tradnl"/>
        </w:rPr>
        <w:t>S</w:t>
      </w:r>
      <w:r w:rsidRPr="00FB0E1F">
        <w:rPr>
          <w:szCs w:val="22"/>
          <w:lang w:val="es-ES_tradnl"/>
        </w:rPr>
        <w:t xml:space="preserve"> SOBRE LA ORGANIZACIÓN DE LAS INCIDENCIAS</w:t>
      </w:r>
    </w:p>
    <w:p w14:paraId="0E60B341" w14:textId="4E5B5C49" w:rsidR="001322CF" w:rsidRDefault="00FB0E1F" w:rsidP="00FB0E1F">
      <w:pPr>
        <w:numPr>
          <w:ilvl w:val="0"/>
          <w:numId w:val="5"/>
        </w:numPr>
        <w:tabs>
          <w:tab w:val="clear" w:pos="567"/>
        </w:tabs>
        <w:spacing w:after="120"/>
        <w:rPr>
          <w:szCs w:val="22"/>
          <w:lang w:val="es-ES"/>
        </w:rPr>
      </w:pPr>
      <w:r w:rsidRPr="00FB0E1F">
        <w:rPr>
          <w:szCs w:val="22"/>
          <w:lang w:val="es-ES_tradnl"/>
        </w:rPr>
        <w:t xml:space="preserve">Utilizando las tablas de </w:t>
      </w:r>
      <w:r w:rsidR="00E84471">
        <w:rPr>
          <w:szCs w:val="22"/>
          <w:lang w:val="es-ES_tradnl"/>
        </w:rPr>
        <w:t>correspondencias</w:t>
      </w:r>
      <w:r w:rsidRPr="00FB0E1F">
        <w:rPr>
          <w:szCs w:val="22"/>
          <w:lang w:val="es-ES_tradnl"/>
        </w:rPr>
        <w:t xml:space="preserve"> proporcionadas por las OPI, la Oficina Internacional examinó las incidencias de la Norma ST.27 para </w:t>
      </w:r>
      <w:r w:rsidR="00E84471">
        <w:rPr>
          <w:szCs w:val="22"/>
          <w:lang w:val="es-ES_tradnl"/>
        </w:rPr>
        <w:t xml:space="preserve">determinar </w:t>
      </w:r>
      <w:r w:rsidRPr="00FB0E1F">
        <w:rPr>
          <w:szCs w:val="22"/>
          <w:lang w:val="es-ES_tradnl"/>
        </w:rPr>
        <w:t>su coherencia y utilidad.</w:t>
      </w:r>
      <w:r w:rsidR="00E84471">
        <w:rPr>
          <w:szCs w:val="22"/>
          <w:lang w:val="es-ES"/>
        </w:rPr>
        <w:t xml:space="preserve"> </w:t>
      </w:r>
      <w:r w:rsidR="00A65674">
        <w:rPr>
          <w:szCs w:val="22"/>
          <w:lang w:val="es-ES_tradnl"/>
        </w:rPr>
        <w:t xml:space="preserve">Este análisis reveló algunos campos </w:t>
      </w:r>
      <w:r w:rsidRPr="00FB0E1F">
        <w:rPr>
          <w:szCs w:val="22"/>
          <w:lang w:val="es-ES_tradnl"/>
        </w:rPr>
        <w:t xml:space="preserve">que podrían mejorarse en la organización de </w:t>
      </w:r>
      <w:r w:rsidR="00E84471">
        <w:rPr>
          <w:szCs w:val="22"/>
          <w:lang w:val="es-ES_tradnl"/>
        </w:rPr>
        <w:t>las incidencias</w:t>
      </w:r>
      <w:r w:rsidRPr="00FB0E1F">
        <w:rPr>
          <w:szCs w:val="22"/>
          <w:lang w:val="es-ES_tradnl"/>
        </w:rPr>
        <w:t>.</w:t>
      </w:r>
      <w:r w:rsidR="00E84471">
        <w:rPr>
          <w:szCs w:val="22"/>
          <w:lang w:val="es-ES"/>
        </w:rPr>
        <w:t xml:space="preserve"> </w:t>
      </w:r>
      <w:r w:rsidRPr="00FB0E1F">
        <w:rPr>
          <w:szCs w:val="22"/>
          <w:lang w:val="es-ES_tradnl"/>
        </w:rPr>
        <w:t xml:space="preserve">De las 168 </w:t>
      </w:r>
      <w:r w:rsidR="00E84471">
        <w:rPr>
          <w:szCs w:val="22"/>
          <w:lang w:val="es-ES_tradnl"/>
        </w:rPr>
        <w:t xml:space="preserve">incidencias </w:t>
      </w:r>
      <w:r w:rsidRPr="00FB0E1F">
        <w:rPr>
          <w:szCs w:val="22"/>
          <w:lang w:val="es-ES_tradnl"/>
        </w:rPr>
        <w:t>que figuran en la versión 1</w:t>
      </w:r>
      <w:r w:rsidR="00E84471">
        <w:rPr>
          <w:szCs w:val="22"/>
          <w:lang w:val="es-ES_tradnl"/>
        </w:rPr>
        <w:t>.</w:t>
      </w:r>
      <w:r w:rsidRPr="00FB0E1F">
        <w:rPr>
          <w:szCs w:val="22"/>
          <w:lang w:val="es-ES_tradnl"/>
        </w:rPr>
        <w:t>1 de la Norma ST.27 de la OMPI, 46 (25%) e</w:t>
      </w:r>
      <w:r w:rsidR="00E84471">
        <w:rPr>
          <w:szCs w:val="22"/>
          <w:lang w:val="es-ES_tradnl"/>
        </w:rPr>
        <w:t>stán relacionada</w:t>
      </w:r>
      <w:r w:rsidR="00A65674">
        <w:rPr>
          <w:szCs w:val="22"/>
          <w:lang w:val="es-ES_tradnl"/>
        </w:rPr>
        <w:t xml:space="preserve">s directamente con otra incidencia </w:t>
      </w:r>
      <w:r w:rsidRPr="00FB0E1F">
        <w:rPr>
          <w:szCs w:val="22"/>
          <w:lang w:val="es-ES_tradnl"/>
        </w:rPr>
        <w:t>de la misma categoría.</w:t>
      </w:r>
      <w:r w:rsidR="00E84471">
        <w:rPr>
          <w:szCs w:val="22"/>
          <w:lang w:val="es-ES"/>
        </w:rPr>
        <w:t xml:space="preserve"> </w:t>
      </w:r>
      <w:r w:rsidRPr="00FB0E1F">
        <w:rPr>
          <w:szCs w:val="22"/>
          <w:lang w:val="es-ES_tradnl"/>
        </w:rPr>
        <w:t xml:space="preserve">Por ejemplo, </w:t>
      </w:r>
      <w:r w:rsidR="00E84471">
        <w:rPr>
          <w:szCs w:val="22"/>
          <w:lang w:val="es-ES_tradnl"/>
        </w:rPr>
        <w:t>la A</w:t>
      </w:r>
      <w:r w:rsidRPr="00FB0E1F">
        <w:rPr>
          <w:szCs w:val="22"/>
          <w:lang w:val="es-ES_tradnl"/>
        </w:rPr>
        <w:t xml:space="preserve">16 </w:t>
      </w:r>
      <w:r w:rsidR="00E84471">
        <w:rPr>
          <w:szCs w:val="22"/>
          <w:lang w:val="es-ES_tradnl"/>
        </w:rPr>
        <w:t xml:space="preserve">corresponde a la presentación de </w:t>
      </w:r>
      <w:r w:rsidRPr="00FB0E1F">
        <w:rPr>
          <w:szCs w:val="22"/>
          <w:lang w:val="es-ES_tradnl"/>
        </w:rPr>
        <w:t xml:space="preserve">una solicitud divisional, </w:t>
      </w:r>
      <w:r w:rsidR="00E84471">
        <w:rPr>
          <w:szCs w:val="22"/>
          <w:lang w:val="es-ES_tradnl"/>
        </w:rPr>
        <w:t>la A</w:t>
      </w:r>
      <w:r w:rsidRPr="00FB0E1F">
        <w:rPr>
          <w:szCs w:val="22"/>
          <w:lang w:val="es-ES_tradnl"/>
        </w:rPr>
        <w:t xml:space="preserve">17 </w:t>
      </w:r>
      <w:r w:rsidR="00E84471">
        <w:rPr>
          <w:szCs w:val="22"/>
          <w:lang w:val="es-ES_tradnl"/>
        </w:rPr>
        <w:t xml:space="preserve">al rechazo de una </w:t>
      </w:r>
      <w:r w:rsidR="007D0AD5">
        <w:rPr>
          <w:szCs w:val="22"/>
          <w:lang w:val="es-ES_tradnl"/>
        </w:rPr>
        <w:t>solicitud divisional</w:t>
      </w:r>
      <w:r w:rsidRPr="00FB0E1F">
        <w:rPr>
          <w:szCs w:val="22"/>
          <w:lang w:val="es-ES_tradnl"/>
        </w:rPr>
        <w:t xml:space="preserve"> y </w:t>
      </w:r>
      <w:r w:rsidR="00E84471">
        <w:rPr>
          <w:szCs w:val="22"/>
          <w:lang w:val="es-ES_tradnl"/>
        </w:rPr>
        <w:t>l</w:t>
      </w:r>
      <w:r w:rsidRPr="00FB0E1F">
        <w:rPr>
          <w:szCs w:val="22"/>
          <w:lang w:val="es-ES_tradnl"/>
        </w:rPr>
        <w:t>a</w:t>
      </w:r>
      <w:r w:rsidR="00E84471">
        <w:rPr>
          <w:szCs w:val="22"/>
          <w:lang w:val="es-ES_tradnl"/>
        </w:rPr>
        <w:t xml:space="preserve"> A</w:t>
      </w:r>
      <w:r w:rsidRPr="00FB0E1F">
        <w:rPr>
          <w:szCs w:val="22"/>
          <w:lang w:val="es-ES_tradnl"/>
        </w:rPr>
        <w:t xml:space="preserve">18 </w:t>
      </w:r>
      <w:r w:rsidR="00E84471">
        <w:rPr>
          <w:szCs w:val="22"/>
          <w:lang w:val="es-ES_tradnl"/>
        </w:rPr>
        <w:t xml:space="preserve">a </w:t>
      </w:r>
      <w:r w:rsidRPr="00FB0E1F">
        <w:rPr>
          <w:szCs w:val="22"/>
          <w:lang w:val="es-ES_tradnl"/>
        </w:rPr>
        <w:t>la aceptación de una solicitud divisional.</w:t>
      </w:r>
      <w:r w:rsidR="00E84471">
        <w:rPr>
          <w:szCs w:val="22"/>
          <w:lang w:val="es-ES"/>
        </w:rPr>
        <w:t xml:space="preserve"> </w:t>
      </w:r>
      <w:r w:rsidRPr="00FB0E1F">
        <w:rPr>
          <w:szCs w:val="22"/>
          <w:lang w:val="es-ES_tradnl"/>
        </w:rPr>
        <w:t xml:space="preserve">Para que se produzcan </w:t>
      </w:r>
      <w:r w:rsidR="00E84471">
        <w:rPr>
          <w:szCs w:val="22"/>
          <w:lang w:val="es-ES_tradnl"/>
        </w:rPr>
        <w:t>la A</w:t>
      </w:r>
      <w:r w:rsidRPr="00FB0E1F">
        <w:rPr>
          <w:szCs w:val="22"/>
          <w:lang w:val="es-ES_tradnl"/>
        </w:rPr>
        <w:t xml:space="preserve">17 o </w:t>
      </w:r>
      <w:r w:rsidR="00E84471">
        <w:rPr>
          <w:szCs w:val="22"/>
          <w:lang w:val="es-ES_tradnl"/>
        </w:rPr>
        <w:t>la A</w:t>
      </w:r>
      <w:r w:rsidR="00A65674">
        <w:rPr>
          <w:szCs w:val="22"/>
          <w:lang w:val="es-ES_tradnl"/>
        </w:rPr>
        <w:t>18, el</w:t>
      </w:r>
      <w:r w:rsidRPr="00FB0E1F">
        <w:rPr>
          <w:szCs w:val="22"/>
          <w:lang w:val="es-ES_tradnl"/>
        </w:rPr>
        <w:t xml:space="preserve"> historia</w:t>
      </w:r>
      <w:r w:rsidR="00A65674">
        <w:rPr>
          <w:szCs w:val="22"/>
          <w:lang w:val="es-ES_tradnl"/>
        </w:rPr>
        <w:t>l</w:t>
      </w:r>
      <w:r w:rsidRPr="00FB0E1F">
        <w:rPr>
          <w:szCs w:val="22"/>
          <w:lang w:val="es-ES_tradnl"/>
        </w:rPr>
        <w:t xml:space="preserve"> de la incidencia debería contener </w:t>
      </w:r>
      <w:r w:rsidR="00E84471">
        <w:rPr>
          <w:szCs w:val="22"/>
          <w:lang w:val="es-ES_tradnl"/>
        </w:rPr>
        <w:t>anteriormente la incidencia A</w:t>
      </w:r>
      <w:r w:rsidRPr="00FB0E1F">
        <w:rPr>
          <w:szCs w:val="22"/>
          <w:lang w:val="es-ES_tradnl"/>
        </w:rPr>
        <w:t>16.</w:t>
      </w:r>
    </w:p>
    <w:p w14:paraId="026FB7C3" w14:textId="0271DA9E" w:rsidR="001322CF" w:rsidRDefault="00FB0E1F" w:rsidP="00FB0E1F">
      <w:pPr>
        <w:numPr>
          <w:ilvl w:val="0"/>
          <w:numId w:val="5"/>
        </w:numPr>
        <w:tabs>
          <w:tab w:val="clear" w:pos="567"/>
        </w:tabs>
        <w:spacing w:after="220"/>
        <w:rPr>
          <w:szCs w:val="22"/>
          <w:lang w:val="es-ES"/>
        </w:rPr>
      </w:pPr>
      <w:r w:rsidRPr="00FB0E1F">
        <w:rPr>
          <w:szCs w:val="22"/>
          <w:lang w:val="es-ES_tradnl"/>
        </w:rPr>
        <w:t>Sin embargo, esas relaciones no se reflejan en los datos de incidencia</w:t>
      </w:r>
      <w:r w:rsidR="007D0AD5">
        <w:rPr>
          <w:szCs w:val="22"/>
          <w:lang w:val="es-ES_tradnl"/>
        </w:rPr>
        <w:t>s</w:t>
      </w:r>
      <w:r w:rsidRPr="00FB0E1F">
        <w:rPr>
          <w:szCs w:val="22"/>
          <w:lang w:val="es-ES_tradnl"/>
        </w:rPr>
        <w:t xml:space="preserve"> de la Norma</w:t>
      </w:r>
      <w:r w:rsidR="007D0AD5">
        <w:rPr>
          <w:szCs w:val="22"/>
          <w:lang w:val="es-ES_tradnl"/>
        </w:rPr>
        <w:t> </w:t>
      </w:r>
      <w:r w:rsidRPr="00FB0E1F">
        <w:rPr>
          <w:szCs w:val="22"/>
          <w:lang w:val="es-ES_tradnl"/>
        </w:rPr>
        <w:t xml:space="preserve">ST.27 que </w:t>
      </w:r>
      <w:r w:rsidR="007D0AD5" w:rsidRPr="00FB0E1F">
        <w:rPr>
          <w:szCs w:val="22"/>
          <w:lang w:val="es-ES_tradnl"/>
        </w:rPr>
        <w:t xml:space="preserve">intercambian </w:t>
      </w:r>
      <w:r w:rsidRPr="00FB0E1F">
        <w:rPr>
          <w:szCs w:val="22"/>
          <w:lang w:val="es-ES_tradnl"/>
        </w:rPr>
        <w:t>las Oficinas.</w:t>
      </w:r>
      <w:r w:rsidR="007D0AD5">
        <w:rPr>
          <w:szCs w:val="22"/>
          <w:lang w:val="es-ES"/>
        </w:rPr>
        <w:t xml:space="preserve"> </w:t>
      </w:r>
      <w:r w:rsidRPr="00FB0E1F">
        <w:rPr>
          <w:szCs w:val="22"/>
          <w:lang w:val="es-ES_tradnl"/>
        </w:rPr>
        <w:t>Los códigos de incidencia</w:t>
      </w:r>
      <w:r w:rsidR="007D0AD5">
        <w:rPr>
          <w:szCs w:val="22"/>
          <w:lang w:val="es-ES_tradnl"/>
        </w:rPr>
        <w:t>s</w:t>
      </w:r>
      <w:r w:rsidRPr="00FB0E1F">
        <w:rPr>
          <w:szCs w:val="22"/>
          <w:lang w:val="es-ES_tradnl"/>
        </w:rPr>
        <w:t xml:space="preserve"> A16, A17 y A18 no indican que </w:t>
      </w:r>
      <w:r w:rsidR="007D0AD5">
        <w:rPr>
          <w:szCs w:val="22"/>
          <w:lang w:val="es-ES_tradnl"/>
        </w:rPr>
        <w:t xml:space="preserve">esas incidencias </w:t>
      </w:r>
      <w:r w:rsidRPr="00FB0E1F">
        <w:rPr>
          <w:szCs w:val="22"/>
          <w:lang w:val="es-ES_tradnl"/>
        </w:rPr>
        <w:t>dependen</w:t>
      </w:r>
      <w:r w:rsidR="007D0AD5">
        <w:rPr>
          <w:szCs w:val="22"/>
          <w:lang w:val="es-ES_tradnl"/>
        </w:rPr>
        <w:t xml:space="preserve"> unas de otras</w:t>
      </w:r>
      <w:r w:rsidRPr="00FB0E1F">
        <w:rPr>
          <w:szCs w:val="22"/>
          <w:lang w:val="es-ES_tradnl"/>
        </w:rPr>
        <w:t>.</w:t>
      </w:r>
      <w:r w:rsidR="007D0AD5">
        <w:rPr>
          <w:szCs w:val="22"/>
          <w:lang w:val="es-ES"/>
        </w:rPr>
        <w:t xml:space="preserve"> </w:t>
      </w:r>
      <w:r w:rsidRPr="00FB0E1F">
        <w:rPr>
          <w:szCs w:val="22"/>
          <w:lang w:val="es-ES_tradnl"/>
        </w:rPr>
        <w:t xml:space="preserve">El hecho de que las relaciones entre </w:t>
      </w:r>
      <w:r w:rsidR="007D0AD5">
        <w:rPr>
          <w:szCs w:val="22"/>
          <w:lang w:val="es-ES_tradnl"/>
        </w:rPr>
        <w:t xml:space="preserve">las incidencias </w:t>
      </w:r>
      <w:r w:rsidRPr="00FB0E1F">
        <w:rPr>
          <w:szCs w:val="22"/>
          <w:lang w:val="es-ES_tradnl"/>
        </w:rPr>
        <w:t xml:space="preserve">sean más explícitas en los datos intercambiados entre las oficinas puede facilitar la comprensión, la aplicación y </w:t>
      </w:r>
      <w:r w:rsidR="007D0AD5">
        <w:rPr>
          <w:szCs w:val="22"/>
          <w:lang w:val="es-ES_tradnl"/>
        </w:rPr>
        <w:t>el uso de</w:t>
      </w:r>
      <w:r w:rsidRPr="00FB0E1F">
        <w:rPr>
          <w:szCs w:val="22"/>
          <w:lang w:val="es-ES_tradnl"/>
        </w:rPr>
        <w:t xml:space="preserve"> la Norma ST.27.</w:t>
      </w:r>
    </w:p>
    <w:p w14:paraId="21B9E2BF" w14:textId="0537CCDB" w:rsidR="001322CF" w:rsidRDefault="00FB0E1F" w:rsidP="00FB0E1F">
      <w:pPr>
        <w:numPr>
          <w:ilvl w:val="0"/>
          <w:numId w:val="5"/>
        </w:numPr>
        <w:tabs>
          <w:tab w:val="clear" w:pos="567"/>
        </w:tabs>
        <w:spacing w:after="220"/>
        <w:rPr>
          <w:szCs w:val="22"/>
          <w:lang w:val="es-ES"/>
        </w:rPr>
      </w:pPr>
      <w:r w:rsidRPr="00FB0E1F">
        <w:rPr>
          <w:szCs w:val="22"/>
          <w:lang w:val="es-ES_tradnl"/>
        </w:rPr>
        <w:t xml:space="preserve">En consulta con los miembros del Equipo Técnico, la Oficina Internacional presentó una propuesta al Equipo Técnico para ampliar la codificación de las incidencias de la Norma ST.27 </w:t>
      </w:r>
      <w:r w:rsidR="00A65674">
        <w:rPr>
          <w:szCs w:val="22"/>
          <w:lang w:val="es-ES_tradnl"/>
        </w:rPr>
        <w:t>añadiendo</w:t>
      </w:r>
      <w:r w:rsidRPr="00FB0E1F">
        <w:rPr>
          <w:szCs w:val="22"/>
          <w:lang w:val="es-ES_tradnl"/>
        </w:rPr>
        <w:t xml:space="preserve"> tres caracteres adicionales que reflejen el tipo de procedimiento que contiene </w:t>
      </w:r>
      <w:r w:rsidR="00FA4E88">
        <w:rPr>
          <w:szCs w:val="22"/>
          <w:lang w:val="es-ES_tradnl"/>
        </w:rPr>
        <w:t>la incidencia</w:t>
      </w:r>
      <w:r w:rsidRPr="00FB0E1F">
        <w:rPr>
          <w:szCs w:val="22"/>
          <w:lang w:val="es-ES_tradnl"/>
        </w:rPr>
        <w:t>.</w:t>
      </w:r>
      <w:r w:rsidR="00FA4E88">
        <w:rPr>
          <w:szCs w:val="22"/>
          <w:lang w:val="es-ES"/>
        </w:rPr>
        <w:t xml:space="preserve"> </w:t>
      </w:r>
      <w:r w:rsidRPr="00FB0E1F">
        <w:rPr>
          <w:szCs w:val="22"/>
          <w:lang w:val="es-ES_tradnl"/>
        </w:rPr>
        <w:t xml:space="preserve">Esta propuesta tenía por objeto mejorar la Norma ST.27, haciendo que algunas relaciones entre </w:t>
      </w:r>
      <w:r w:rsidR="006E6763">
        <w:rPr>
          <w:szCs w:val="22"/>
          <w:lang w:val="es-ES_tradnl"/>
        </w:rPr>
        <w:t>las incidencias</w:t>
      </w:r>
      <w:r w:rsidRPr="00FB0E1F">
        <w:rPr>
          <w:szCs w:val="22"/>
          <w:lang w:val="es-ES_tradnl"/>
        </w:rPr>
        <w:t xml:space="preserve"> fueran más explícitas y ofrecieran otras </w:t>
      </w:r>
      <w:r w:rsidR="006E6763">
        <w:rPr>
          <w:szCs w:val="22"/>
          <w:lang w:val="es-ES_tradnl"/>
        </w:rPr>
        <w:t>ventajas</w:t>
      </w:r>
      <w:r w:rsidRPr="00FB0E1F">
        <w:rPr>
          <w:szCs w:val="22"/>
          <w:lang w:val="es-ES_tradnl"/>
        </w:rPr>
        <w:t xml:space="preserve"> que se describen más adelante.</w:t>
      </w:r>
    </w:p>
    <w:p w14:paraId="71541E81" w14:textId="31845DCD" w:rsidR="001322CF" w:rsidRDefault="00FB0E1F" w:rsidP="00FB0E1F">
      <w:pPr>
        <w:numPr>
          <w:ilvl w:val="0"/>
          <w:numId w:val="5"/>
        </w:numPr>
        <w:tabs>
          <w:tab w:val="clear" w:pos="567"/>
        </w:tabs>
        <w:spacing w:after="220"/>
        <w:rPr>
          <w:szCs w:val="22"/>
          <w:lang w:val="es-ES"/>
        </w:rPr>
      </w:pPr>
      <w:r w:rsidRPr="00FB0E1F">
        <w:rPr>
          <w:szCs w:val="22"/>
          <w:lang w:val="es-ES_tradnl"/>
        </w:rPr>
        <w:t xml:space="preserve">La propuesta contiene una lista de 15 etiquetas que pueden abarcar las 168 </w:t>
      </w:r>
      <w:r w:rsidR="006E6763">
        <w:rPr>
          <w:szCs w:val="22"/>
          <w:lang w:val="es-ES_tradnl"/>
        </w:rPr>
        <w:t>incidencias</w:t>
      </w:r>
      <w:r w:rsidRPr="00FB0E1F">
        <w:rPr>
          <w:szCs w:val="22"/>
          <w:lang w:val="es-ES_tradnl"/>
        </w:rPr>
        <w:t xml:space="preserve"> de </w:t>
      </w:r>
      <w:r w:rsidR="006E6763">
        <w:rPr>
          <w:szCs w:val="22"/>
          <w:lang w:val="es-ES_tradnl"/>
        </w:rPr>
        <w:t xml:space="preserve">la Norma </w:t>
      </w:r>
      <w:r w:rsidRPr="00FB0E1F">
        <w:rPr>
          <w:szCs w:val="22"/>
          <w:lang w:val="es-ES_tradnl"/>
        </w:rPr>
        <w:t>ST</w:t>
      </w:r>
      <w:r w:rsidR="006E6763">
        <w:rPr>
          <w:szCs w:val="22"/>
          <w:lang w:val="es-ES_tradnl"/>
        </w:rPr>
        <w:t>.</w:t>
      </w:r>
      <w:r w:rsidR="00A65674">
        <w:rPr>
          <w:szCs w:val="22"/>
          <w:lang w:val="es-ES_tradnl"/>
        </w:rPr>
        <w:t>27. Esas etiquetas</w:t>
      </w:r>
      <w:r w:rsidRPr="00FB0E1F">
        <w:rPr>
          <w:szCs w:val="22"/>
          <w:lang w:val="es-ES_tradnl"/>
        </w:rPr>
        <w:t xml:space="preserve"> y su significado </w:t>
      </w:r>
      <w:r w:rsidR="00A65674">
        <w:rPr>
          <w:szCs w:val="22"/>
          <w:lang w:val="es-ES_tradnl"/>
        </w:rPr>
        <w:t>se exponen</w:t>
      </w:r>
      <w:r w:rsidRPr="00FB0E1F">
        <w:rPr>
          <w:szCs w:val="22"/>
          <w:lang w:val="es-ES_tradnl"/>
        </w:rPr>
        <w:t xml:space="preserve"> en el Anexo II del presente documento para que el CWS formule comentarios al respecto.</w:t>
      </w:r>
    </w:p>
    <w:p w14:paraId="389558D2" w14:textId="61ED2474" w:rsidR="001322CF" w:rsidRDefault="00FB0E1F" w:rsidP="00FB0E1F">
      <w:pPr>
        <w:numPr>
          <w:ilvl w:val="0"/>
          <w:numId w:val="5"/>
        </w:numPr>
        <w:tabs>
          <w:tab w:val="clear" w:pos="567"/>
        </w:tabs>
        <w:spacing w:after="120"/>
        <w:rPr>
          <w:szCs w:val="22"/>
          <w:lang w:val="es-ES"/>
        </w:rPr>
      </w:pPr>
      <w:r w:rsidRPr="00FB0E1F">
        <w:rPr>
          <w:szCs w:val="22"/>
          <w:lang w:val="es-ES_tradnl"/>
        </w:rPr>
        <w:t>Por ejemp</w:t>
      </w:r>
      <w:r w:rsidR="006E6763">
        <w:rPr>
          <w:szCs w:val="22"/>
          <w:lang w:val="es-ES_tradnl"/>
        </w:rPr>
        <w:t>lo, utilizando es</w:t>
      </w:r>
      <w:r w:rsidRPr="00FB0E1F">
        <w:rPr>
          <w:szCs w:val="22"/>
          <w:lang w:val="es-ES_tradnl"/>
        </w:rPr>
        <w:t>as etiquetas:</w:t>
      </w:r>
    </w:p>
    <w:p w14:paraId="65DF422B" w14:textId="5D37C97C" w:rsidR="001322CF" w:rsidRDefault="008C0334" w:rsidP="00FB0E1F">
      <w:pPr>
        <w:pStyle w:val="ListParagraph"/>
        <w:numPr>
          <w:ilvl w:val="0"/>
          <w:numId w:val="11"/>
        </w:numPr>
        <w:rPr>
          <w:szCs w:val="22"/>
          <w:lang w:val="es-ES"/>
        </w:rPr>
      </w:pPr>
      <w:r>
        <w:rPr>
          <w:szCs w:val="22"/>
          <w:lang w:val="es-ES_tradnl"/>
        </w:rPr>
        <w:t>La A16 podría cambiarse a</w:t>
      </w:r>
      <w:r w:rsidR="009D5791">
        <w:rPr>
          <w:szCs w:val="22"/>
          <w:lang w:val="es-ES_tradnl"/>
        </w:rPr>
        <w:t xml:space="preserve"> la</w:t>
      </w:r>
      <w:r>
        <w:rPr>
          <w:szCs w:val="22"/>
          <w:lang w:val="es-ES_tradnl"/>
        </w:rPr>
        <w:t xml:space="preserve"> A16.fil</w:t>
      </w:r>
      <w:r w:rsidR="00FB0E1F" w:rsidRPr="00FB0E1F">
        <w:rPr>
          <w:szCs w:val="22"/>
          <w:lang w:val="es-ES_tradnl"/>
        </w:rPr>
        <w:t xml:space="preserve"> </w:t>
      </w:r>
      <w:r w:rsidR="00A65674">
        <w:rPr>
          <w:szCs w:val="22"/>
          <w:lang w:val="es-ES_tradnl"/>
        </w:rPr>
        <w:t>ya</w:t>
      </w:r>
      <w:r w:rsidR="00FB0E1F" w:rsidRPr="00FB0E1F">
        <w:rPr>
          <w:szCs w:val="22"/>
          <w:lang w:val="es-ES_tradnl"/>
        </w:rPr>
        <w:t xml:space="preserve"> que se refiere a la presentación </w:t>
      </w:r>
    </w:p>
    <w:p w14:paraId="5CC8EBB8" w14:textId="2A4643C2" w:rsidR="001322CF" w:rsidRDefault="009D5791" w:rsidP="00FB0E1F">
      <w:pPr>
        <w:pStyle w:val="ListParagraph"/>
        <w:numPr>
          <w:ilvl w:val="0"/>
          <w:numId w:val="11"/>
        </w:numPr>
        <w:rPr>
          <w:szCs w:val="22"/>
          <w:lang w:val="es-ES"/>
        </w:rPr>
      </w:pPr>
      <w:r>
        <w:rPr>
          <w:szCs w:val="22"/>
          <w:lang w:val="es-ES_tradnl"/>
        </w:rPr>
        <w:t>La A17 podría cambiarse a la</w:t>
      </w:r>
      <w:r w:rsidR="008C0334">
        <w:rPr>
          <w:szCs w:val="22"/>
          <w:lang w:val="es-ES_tradnl"/>
        </w:rPr>
        <w:t xml:space="preserve"> A17.</w:t>
      </w:r>
      <w:r w:rsidR="00FB0E1F" w:rsidRPr="00FB0E1F">
        <w:rPr>
          <w:szCs w:val="22"/>
          <w:lang w:val="es-ES_tradnl"/>
        </w:rPr>
        <w:t xml:space="preserve">rej, ya que se </w:t>
      </w:r>
      <w:r w:rsidR="006E6763">
        <w:rPr>
          <w:szCs w:val="22"/>
          <w:lang w:val="es-ES_tradnl"/>
        </w:rPr>
        <w:t xml:space="preserve">refiere al </w:t>
      </w:r>
      <w:r w:rsidR="00FB0E1F" w:rsidRPr="00FB0E1F">
        <w:rPr>
          <w:szCs w:val="22"/>
          <w:lang w:val="es-ES_tradnl"/>
        </w:rPr>
        <w:t>rechazo</w:t>
      </w:r>
    </w:p>
    <w:p w14:paraId="7E00E007" w14:textId="21AD088F" w:rsidR="001322CF" w:rsidRDefault="00FB0E1F" w:rsidP="00FB0E1F">
      <w:pPr>
        <w:pStyle w:val="ListParagraph"/>
        <w:numPr>
          <w:ilvl w:val="0"/>
          <w:numId w:val="11"/>
        </w:numPr>
        <w:spacing w:after="220"/>
        <w:ind w:left="778"/>
        <w:contextualSpacing w:val="0"/>
        <w:rPr>
          <w:szCs w:val="22"/>
          <w:lang w:val="es-ES"/>
        </w:rPr>
      </w:pPr>
      <w:r w:rsidRPr="00FB0E1F">
        <w:rPr>
          <w:szCs w:val="22"/>
          <w:lang w:val="es-ES_tradnl"/>
        </w:rPr>
        <w:t>La A18 podría cambiarse a</w:t>
      </w:r>
      <w:r w:rsidR="009D5791">
        <w:rPr>
          <w:szCs w:val="22"/>
          <w:lang w:val="es-ES_tradnl"/>
        </w:rPr>
        <w:t xml:space="preserve"> la</w:t>
      </w:r>
      <w:r w:rsidRPr="00FB0E1F">
        <w:rPr>
          <w:szCs w:val="22"/>
          <w:lang w:val="es-ES_tradnl"/>
        </w:rPr>
        <w:t xml:space="preserve"> A18.acc, ya que se refiere a la aceptación.</w:t>
      </w:r>
    </w:p>
    <w:p w14:paraId="363EAE0A" w14:textId="45154E23" w:rsidR="001322CF" w:rsidRDefault="00FB0E1F" w:rsidP="00FB0E1F">
      <w:pPr>
        <w:numPr>
          <w:ilvl w:val="0"/>
          <w:numId w:val="5"/>
        </w:numPr>
        <w:tabs>
          <w:tab w:val="clear" w:pos="567"/>
        </w:tabs>
        <w:spacing w:before="120" w:after="120"/>
        <w:rPr>
          <w:szCs w:val="22"/>
          <w:lang w:val="es-ES"/>
        </w:rPr>
      </w:pPr>
      <w:r w:rsidRPr="00FB0E1F">
        <w:rPr>
          <w:szCs w:val="22"/>
          <w:lang w:val="es-ES_tradnl"/>
        </w:rPr>
        <w:t xml:space="preserve">Este sistema se podría aplicar </w:t>
      </w:r>
      <w:r w:rsidR="006E6763">
        <w:rPr>
          <w:szCs w:val="22"/>
          <w:lang w:val="es-ES_tradnl"/>
        </w:rPr>
        <w:t>además par</w:t>
      </w:r>
      <w:r w:rsidRPr="00FB0E1F">
        <w:rPr>
          <w:szCs w:val="22"/>
          <w:lang w:val="es-ES_tradnl"/>
        </w:rPr>
        <w:t>a combinar</w:t>
      </w:r>
      <w:r w:rsidR="006E6763">
        <w:rPr>
          <w:szCs w:val="22"/>
          <w:lang w:val="es-ES_tradnl"/>
        </w:rPr>
        <w:t xml:space="preserve"> la codificación</w:t>
      </w:r>
      <w:r w:rsidRPr="00FB0E1F">
        <w:rPr>
          <w:szCs w:val="22"/>
          <w:lang w:val="es-ES_tradnl"/>
        </w:rPr>
        <w:t xml:space="preserve"> de </w:t>
      </w:r>
      <w:r w:rsidR="006E6763">
        <w:rPr>
          <w:szCs w:val="22"/>
          <w:lang w:val="es-ES_tradnl"/>
        </w:rPr>
        <w:t>las incidencias conexa</w:t>
      </w:r>
      <w:r w:rsidRPr="00FB0E1F">
        <w:rPr>
          <w:szCs w:val="22"/>
          <w:lang w:val="es-ES_tradnl"/>
        </w:rPr>
        <w:t>s utilizando e</w:t>
      </w:r>
      <w:r w:rsidR="006E6763">
        <w:rPr>
          <w:szCs w:val="22"/>
          <w:lang w:val="es-ES_tradnl"/>
        </w:rPr>
        <w:t>l mismo número y diferenciándola</w:t>
      </w:r>
      <w:r w:rsidRPr="00FB0E1F">
        <w:rPr>
          <w:szCs w:val="22"/>
          <w:lang w:val="es-ES_tradnl"/>
        </w:rPr>
        <w:t xml:space="preserve">s </w:t>
      </w:r>
      <w:r w:rsidR="006E6763">
        <w:rPr>
          <w:szCs w:val="22"/>
          <w:lang w:val="es-ES_tradnl"/>
        </w:rPr>
        <w:t xml:space="preserve">mediante </w:t>
      </w:r>
      <w:r w:rsidRPr="00FB0E1F">
        <w:rPr>
          <w:szCs w:val="22"/>
          <w:lang w:val="es-ES_tradnl"/>
        </w:rPr>
        <w:t>la etiqueta.</w:t>
      </w:r>
      <w:r w:rsidR="006E6763">
        <w:rPr>
          <w:szCs w:val="22"/>
          <w:lang w:val="es-ES"/>
        </w:rPr>
        <w:t xml:space="preserve"> </w:t>
      </w:r>
      <w:r w:rsidR="006E6763">
        <w:rPr>
          <w:szCs w:val="22"/>
          <w:lang w:val="es-ES_tradnl"/>
        </w:rPr>
        <w:t>Utilizando</w:t>
      </w:r>
      <w:r w:rsidRPr="00FB0E1F">
        <w:rPr>
          <w:szCs w:val="22"/>
          <w:lang w:val="es-ES_tradnl"/>
        </w:rPr>
        <w:t xml:space="preserve"> los ejemplos precedentes:</w:t>
      </w:r>
    </w:p>
    <w:p w14:paraId="3CA8C6A1" w14:textId="2EDB9318" w:rsidR="001322CF" w:rsidRDefault="006E6763" w:rsidP="00FB0E1F">
      <w:pPr>
        <w:pStyle w:val="ListParagraph"/>
        <w:numPr>
          <w:ilvl w:val="0"/>
          <w:numId w:val="11"/>
        </w:numPr>
        <w:rPr>
          <w:szCs w:val="22"/>
          <w:lang w:val="es-ES"/>
        </w:rPr>
      </w:pPr>
      <w:r>
        <w:rPr>
          <w:szCs w:val="22"/>
          <w:lang w:val="es-ES_tradnl"/>
        </w:rPr>
        <w:t xml:space="preserve">La </w:t>
      </w:r>
      <w:r w:rsidR="00FB0E1F" w:rsidRPr="00FB0E1F">
        <w:rPr>
          <w:szCs w:val="22"/>
          <w:lang w:val="es-ES_tradnl"/>
        </w:rPr>
        <w:t xml:space="preserve">A16 </w:t>
      </w:r>
      <w:r>
        <w:rPr>
          <w:szCs w:val="22"/>
          <w:lang w:val="es-ES_tradnl"/>
        </w:rPr>
        <w:t>sería la A16.fil</w:t>
      </w:r>
      <w:r w:rsidR="00FB0E1F" w:rsidRPr="00FB0E1F">
        <w:rPr>
          <w:szCs w:val="22"/>
          <w:lang w:val="es-ES_tradnl"/>
        </w:rPr>
        <w:t xml:space="preserve">, ya que se refiere </w:t>
      </w:r>
      <w:r>
        <w:rPr>
          <w:szCs w:val="22"/>
          <w:lang w:val="es-ES_tradnl"/>
        </w:rPr>
        <w:t>a</w:t>
      </w:r>
      <w:r w:rsidR="00FB0E1F" w:rsidRPr="00FB0E1F">
        <w:rPr>
          <w:szCs w:val="22"/>
          <w:lang w:val="es-ES_tradnl"/>
        </w:rPr>
        <w:t xml:space="preserve"> la presentación </w:t>
      </w:r>
    </w:p>
    <w:p w14:paraId="68363D1E" w14:textId="69022910" w:rsidR="001322CF" w:rsidRDefault="006E6763" w:rsidP="00FB0E1F">
      <w:pPr>
        <w:pStyle w:val="ListParagraph"/>
        <w:numPr>
          <w:ilvl w:val="0"/>
          <w:numId w:val="11"/>
        </w:numPr>
        <w:rPr>
          <w:szCs w:val="22"/>
          <w:lang w:val="es-ES"/>
        </w:rPr>
      </w:pPr>
      <w:r>
        <w:rPr>
          <w:szCs w:val="22"/>
          <w:lang w:val="es-ES_tradnl"/>
        </w:rPr>
        <w:t xml:space="preserve">La </w:t>
      </w:r>
      <w:r w:rsidR="00FB0E1F" w:rsidRPr="00FB0E1F">
        <w:rPr>
          <w:szCs w:val="22"/>
          <w:lang w:val="es-ES_tradnl"/>
        </w:rPr>
        <w:t xml:space="preserve">A17 sería </w:t>
      </w:r>
      <w:r>
        <w:rPr>
          <w:szCs w:val="22"/>
          <w:lang w:val="es-ES_tradnl"/>
        </w:rPr>
        <w:t xml:space="preserve">la </w:t>
      </w:r>
      <w:r w:rsidR="00FB0E1F" w:rsidRPr="00FB0E1F">
        <w:rPr>
          <w:szCs w:val="22"/>
          <w:lang w:val="es-ES_tradnl"/>
        </w:rPr>
        <w:t xml:space="preserve">A16.rej, ya que se refiere al rechazo de una solicitud presentada </w:t>
      </w:r>
      <w:r>
        <w:rPr>
          <w:szCs w:val="22"/>
          <w:lang w:val="es-ES_tradnl"/>
        </w:rPr>
        <w:t>conforme a</w:t>
      </w:r>
      <w:r w:rsidR="00FB0E1F" w:rsidRPr="00FB0E1F">
        <w:rPr>
          <w:szCs w:val="22"/>
          <w:lang w:val="es-ES_tradnl"/>
        </w:rPr>
        <w:t xml:space="preserve"> la A16</w:t>
      </w:r>
    </w:p>
    <w:p w14:paraId="685810F6" w14:textId="0AC33144" w:rsidR="001322CF" w:rsidRDefault="006E6763" w:rsidP="00FB0E1F">
      <w:pPr>
        <w:pStyle w:val="ListParagraph"/>
        <w:numPr>
          <w:ilvl w:val="0"/>
          <w:numId w:val="11"/>
        </w:numPr>
        <w:spacing w:after="220"/>
        <w:ind w:left="778"/>
        <w:contextualSpacing w:val="0"/>
        <w:rPr>
          <w:szCs w:val="22"/>
          <w:lang w:val="es-ES"/>
        </w:rPr>
      </w:pPr>
      <w:r>
        <w:rPr>
          <w:szCs w:val="22"/>
          <w:lang w:val="es-ES_tradnl"/>
        </w:rPr>
        <w:t xml:space="preserve">La </w:t>
      </w:r>
      <w:r w:rsidR="00FB0E1F" w:rsidRPr="00FB0E1F">
        <w:rPr>
          <w:szCs w:val="22"/>
          <w:lang w:val="es-ES_tradnl"/>
        </w:rPr>
        <w:t xml:space="preserve">A18 sería </w:t>
      </w:r>
      <w:r>
        <w:rPr>
          <w:szCs w:val="22"/>
          <w:lang w:val="es-ES_tradnl"/>
        </w:rPr>
        <w:t xml:space="preserve">la </w:t>
      </w:r>
      <w:r w:rsidR="00FB0E1F" w:rsidRPr="00FB0E1F">
        <w:rPr>
          <w:szCs w:val="22"/>
          <w:lang w:val="es-ES_tradnl"/>
        </w:rPr>
        <w:t xml:space="preserve">A16.acc, ya que se refiere </w:t>
      </w:r>
      <w:r>
        <w:rPr>
          <w:szCs w:val="22"/>
          <w:lang w:val="es-ES_tradnl"/>
        </w:rPr>
        <w:t>a</w:t>
      </w:r>
      <w:r w:rsidR="00FB0E1F" w:rsidRPr="00FB0E1F">
        <w:rPr>
          <w:szCs w:val="22"/>
          <w:lang w:val="es-ES_tradnl"/>
        </w:rPr>
        <w:t xml:space="preserve"> la aceptación de una solicitud presentada </w:t>
      </w:r>
      <w:r>
        <w:rPr>
          <w:szCs w:val="22"/>
          <w:lang w:val="es-ES_tradnl"/>
        </w:rPr>
        <w:t xml:space="preserve">conforme a </w:t>
      </w:r>
      <w:r w:rsidR="00FB0E1F" w:rsidRPr="00FB0E1F">
        <w:rPr>
          <w:szCs w:val="22"/>
          <w:lang w:val="es-ES_tradnl"/>
        </w:rPr>
        <w:t>la A16</w:t>
      </w:r>
    </w:p>
    <w:p w14:paraId="42EE9820" w14:textId="7D2E1528" w:rsidR="001322CF" w:rsidRDefault="00FB0E1F" w:rsidP="00FB0E1F">
      <w:pPr>
        <w:numPr>
          <w:ilvl w:val="0"/>
          <w:numId w:val="5"/>
        </w:numPr>
        <w:tabs>
          <w:tab w:val="clear" w:pos="567"/>
        </w:tabs>
        <w:spacing w:after="220"/>
        <w:rPr>
          <w:szCs w:val="22"/>
          <w:lang w:val="es-ES"/>
        </w:rPr>
      </w:pPr>
      <w:r w:rsidRPr="00FB0E1F">
        <w:rPr>
          <w:szCs w:val="22"/>
          <w:lang w:val="es-ES_tradnl"/>
        </w:rPr>
        <w:t>Este</w:t>
      </w:r>
      <w:r w:rsidR="00A65674">
        <w:rPr>
          <w:szCs w:val="22"/>
          <w:lang w:val="es-ES_tradnl"/>
        </w:rPr>
        <w:t xml:space="preserve"> posible</w:t>
      </w:r>
      <w:r w:rsidRPr="00FB0E1F">
        <w:rPr>
          <w:szCs w:val="22"/>
          <w:lang w:val="es-ES_tradnl"/>
        </w:rPr>
        <w:t xml:space="preserve"> cambio ofrece una serie de ventajas.</w:t>
      </w:r>
      <w:r w:rsidR="001441CA">
        <w:rPr>
          <w:szCs w:val="22"/>
          <w:lang w:val="es-ES"/>
        </w:rPr>
        <w:t xml:space="preserve"> Gracias a </w:t>
      </w:r>
      <w:r w:rsidRPr="00FB0E1F">
        <w:rPr>
          <w:szCs w:val="22"/>
          <w:lang w:val="es-ES_tradnl"/>
        </w:rPr>
        <w:t xml:space="preserve">él se hace más explícita la relación entre </w:t>
      </w:r>
      <w:r w:rsidR="001441CA">
        <w:rPr>
          <w:szCs w:val="22"/>
          <w:lang w:val="es-ES_tradnl"/>
        </w:rPr>
        <w:t>las incidencias</w:t>
      </w:r>
      <w:r w:rsidRPr="00FB0E1F">
        <w:rPr>
          <w:szCs w:val="22"/>
          <w:lang w:val="es-ES_tradnl"/>
        </w:rPr>
        <w:t>.</w:t>
      </w:r>
      <w:r w:rsidR="00323DBC" w:rsidRPr="00440746">
        <w:rPr>
          <w:szCs w:val="22"/>
          <w:lang w:val="es-ES"/>
        </w:rPr>
        <w:t xml:space="preserve"> </w:t>
      </w:r>
      <w:r w:rsidR="001441CA">
        <w:rPr>
          <w:szCs w:val="22"/>
          <w:lang w:val="es-ES"/>
        </w:rPr>
        <w:t>Se</w:t>
      </w:r>
      <w:r w:rsidR="00323DBC" w:rsidRPr="00440746">
        <w:rPr>
          <w:szCs w:val="22"/>
          <w:lang w:val="es-ES"/>
        </w:rPr>
        <w:t xml:space="preserve"> </w:t>
      </w:r>
      <w:r w:rsidRPr="00FB0E1F">
        <w:rPr>
          <w:szCs w:val="22"/>
          <w:lang w:val="es-ES_tradnl"/>
        </w:rPr>
        <w:t>sistematiza el sistema de codificación, con lo que la Norma</w:t>
      </w:r>
      <w:r w:rsidR="001441CA">
        <w:rPr>
          <w:szCs w:val="22"/>
          <w:lang w:val="es-ES_tradnl"/>
        </w:rPr>
        <w:t> </w:t>
      </w:r>
      <w:r w:rsidRPr="00FB0E1F">
        <w:rPr>
          <w:szCs w:val="22"/>
          <w:lang w:val="es-ES_tradnl"/>
        </w:rPr>
        <w:t>ST.27 es más fácil de aprender y aplicar.</w:t>
      </w:r>
      <w:r w:rsidR="001441CA">
        <w:rPr>
          <w:szCs w:val="22"/>
          <w:lang w:val="es-ES"/>
        </w:rPr>
        <w:t xml:space="preserve"> Se proporciona</w:t>
      </w:r>
      <w:r w:rsidR="001441CA">
        <w:rPr>
          <w:szCs w:val="22"/>
          <w:lang w:val="es-ES_tradnl"/>
        </w:rPr>
        <w:t xml:space="preserve"> flexibilidad para añadir incidencias </w:t>
      </w:r>
      <w:r w:rsidR="006C7377">
        <w:rPr>
          <w:szCs w:val="22"/>
          <w:lang w:val="es-ES_tradnl"/>
        </w:rPr>
        <w:t>que no se hayan recogido,</w:t>
      </w:r>
      <w:r w:rsidRPr="00FB0E1F">
        <w:rPr>
          <w:szCs w:val="22"/>
          <w:lang w:val="es-ES_tradnl"/>
        </w:rPr>
        <w:t xml:space="preserve"> cuando </w:t>
      </w:r>
      <w:r w:rsidR="001441CA">
        <w:rPr>
          <w:szCs w:val="22"/>
          <w:lang w:val="es-ES_tradnl"/>
        </w:rPr>
        <w:t>sea</w:t>
      </w:r>
      <w:r w:rsidRPr="00FB0E1F">
        <w:rPr>
          <w:szCs w:val="22"/>
          <w:lang w:val="es-ES_tradnl"/>
        </w:rPr>
        <w:t xml:space="preserve"> necesario en el futuro: si </w:t>
      </w:r>
      <w:r w:rsidR="001441CA">
        <w:rPr>
          <w:szCs w:val="22"/>
          <w:lang w:val="es-ES_tradnl"/>
        </w:rPr>
        <w:t>la nueva incidencia está relacionada</w:t>
      </w:r>
      <w:r w:rsidRPr="00FB0E1F">
        <w:rPr>
          <w:szCs w:val="22"/>
          <w:lang w:val="es-ES_tradnl"/>
        </w:rPr>
        <w:t xml:space="preserve"> con un</w:t>
      </w:r>
      <w:r w:rsidR="001441CA">
        <w:rPr>
          <w:szCs w:val="22"/>
          <w:lang w:val="es-ES_tradnl"/>
        </w:rPr>
        <w:t>a</w:t>
      </w:r>
      <w:r w:rsidRPr="00FB0E1F">
        <w:rPr>
          <w:szCs w:val="22"/>
          <w:lang w:val="es-ES_tradnl"/>
        </w:rPr>
        <w:t xml:space="preserve"> </w:t>
      </w:r>
      <w:r w:rsidR="001441CA">
        <w:rPr>
          <w:szCs w:val="22"/>
          <w:lang w:val="es-ES_tradnl"/>
        </w:rPr>
        <w:t xml:space="preserve">incidencia </w:t>
      </w:r>
      <w:r w:rsidRPr="00FB0E1F">
        <w:rPr>
          <w:szCs w:val="22"/>
          <w:lang w:val="es-ES_tradnl"/>
        </w:rPr>
        <w:t xml:space="preserve">existente </w:t>
      </w:r>
      <w:r w:rsidR="001441CA">
        <w:rPr>
          <w:szCs w:val="22"/>
          <w:lang w:val="es-ES_tradnl"/>
        </w:rPr>
        <w:t xml:space="preserve">en </w:t>
      </w:r>
      <w:r w:rsidRPr="00FB0E1F">
        <w:rPr>
          <w:szCs w:val="22"/>
          <w:lang w:val="es-ES_tradnl"/>
        </w:rPr>
        <w:t xml:space="preserve">la Norma ST.27, el código numérico </w:t>
      </w:r>
      <w:r w:rsidR="001441CA">
        <w:rPr>
          <w:szCs w:val="22"/>
          <w:lang w:val="es-ES_tradnl"/>
        </w:rPr>
        <w:t xml:space="preserve">de la incidencia </w:t>
      </w:r>
      <w:r w:rsidRPr="00FB0E1F">
        <w:rPr>
          <w:szCs w:val="22"/>
          <w:lang w:val="es-ES_tradnl"/>
        </w:rPr>
        <w:t xml:space="preserve">existente puede </w:t>
      </w:r>
      <w:r w:rsidR="001441CA">
        <w:rPr>
          <w:szCs w:val="22"/>
          <w:lang w:val="es-ES_tradnl"/>
        </w:rPr>
        <w:t>volver a utilizarse con otra etiqueta de</w:t>
      </w:r>
      <w:r w:rsidRPr="00FB0E1F">
        <w:rPr>
          <w:szCs w:val="22"/>
          <w:lang w:val="es-ES_tradnl"/>
        </w:rPr>
        <w:t xml:space="preserve"> procedimiento.</w:t>
      </w:r>
    </w:p>
    <w:p w14:paraId="2C4D9BFD" w14:textId="3654EC02" w:rsidR="001322CF" w:rsidRPr="00F675A1" w:rsidRDefault="00FB0E1F" w:rsidP="007B33D4">
      <w:pPr>
        <w:numPr>
          <w:ilvl w:val="0"/>
          <w:numId w:val="5"/>
        </w:numPr>
        <w:tabs>
          <w:tab w:val="clear" w:pos="567"/>
        </w:tabs>
        <w:spacing w:before="120" w:after="220"/>
        <w:rPr>
          <w:szCs w:val="22"/>
          <w:lang w:val="es-ES"/>
        </w:rPr>
      </w:pPr>
      <w:r w:rsidRPr="00F675A1">
        <w:rPr>
          <w:szCs w:val="22"/>
          <w:lang w:val="es-ES_tradnl"/>
        </w:rPr>
        <w:t xml:space="preserve">El sistema también permite a las OPI reflejar </w:t>
      </w:r>
      <w:r w:rsidR="00D43AFC" w:rsidRPr="00F675A1">
        <w:rPr>
          <w:szCs w:val="22"/>
          <w:lang w:val="es-ES_tradnl"/>
        </w:rPr>
        <w:t>más adecuadamente</w:t>
      </w:r>
      <w:r w:rsidRPr="00F675A1">
        <w:rPr>
          <w:szCs w:val="22"/>
          <w:lang w:val="es-ES_tradnl"/>
        </w:rPr>
        <w:t xml:space="preserve"> las incidencias nacionales que</w:t>
      </w:r>
      <w:r w:rsidR="00F675A1" w:rsidRPr="00F675A1">
        <w:rPr>
          <w:szCs w:val="22"/>
          <w:lang w:val="es-ES_tradnl"/>
        </w:rPr>
        <w:t xml:space="preserve"> no se aplican actualmente en la Norma S</w:t>
      </w:r>
      <w:r w:rsidRPr="00F675A1">
        <w:rPr>
          <w:szCs w:val="22"/>
          <w:lang w:val="es-ES_tradnl"/>
        </w:rPr>
        <w:t>T</w:t>
      </w:r>
      <w:r w:rsidR="00F675A1" w:rsidRPr="00F675A1">
        <w:rPr>
          <w:szCs w:val="22"/>
          <w:lang w:val="es-ES_tradnl"/>
        </w:rPr>
        <w:t>.</w:t>
      </w:r>
      <w:r w:rsidRPr="00F675A1">
        <w:rPr>
          <w:szCs w:val="22"/>
          <w:lang w:val="es-ES_tradnl"/>
        </w:rPr>
        <w:t>27</w:t>
      </w:r>
      <w:r w:rsidR="00F675A1" w:rsidRPr="00F675A1">
        <w:rPr>
          <w:szCs w:val="22"/>
          <w:lang w:val="es-ES_tradnl"/>
        </w:rPr>
        <w:t xml:space="preserve">. Las incidencias que no se especifican en </w:t>
      </w:r>
      <w:r w:rsidR="00A65674">
        <w:rPr>
          <w:szCs w:val="22"/>
          <w:lang w:val="es-ES_tradnl"/>
        </w:rPr>
        <w:t>la Norma ST.27, como la</w:t>
      </w:r>
      <w:r w:rsidRPr="00F675A1">
        <w:rPr>
          <w:szCs w:val="22"/>
          <w:lang w:val="es-ES_tradnl"/>
        </w:rPr>
        <w:t xml:space="preserve"> D00</w:t>
      </w:r>
      <w:r w:rsidR="00F675A1">
        <w:rPr>
          <w:szCs w:val="22"/>
          <w:lang w:val="es-ES_tradnl"/>
        </w:rPr>
        <w:t>,</w:t>
      </w:r>
      <w:r w:rsidRPr="00F675A1">
        <w:rPr>
          <w:szCs w:val="22"/>
          <w:lang w:val="es-ES_tradnl"/>
        </w:rPr>
        <w:t xml:space="preserve"> pueden combinarse con una etiqueta apropiada para indicar </w:t>
      </w:r>
      <w:r w:rsidR="00F675A1">
        <w:rPr>
          <w:szCs w:val="22"/>
          <w:lang w:val="es-ES_tradnl"/>
        </w:rPr>
        <w:t xml:space="preserve">más adecuadamente </w:t>
      </w:r>
      <w:r w:rsidRPr="00F675A1">
        <w:rPr>
          <w:szCs w:val="22"/>
          <w:lang w:val="es-ES_tradnl"/>
        </w:rPr>
        <w:t>la naturaleza de la incidencia nacional.</w:t>
      </w:r>
      <w:r w:rsidR="00F675A1">
        <w:rPr>
          <w:szCs w:val="22"/>
          <w:lang w:val="es-ES"/>
        </w:rPr>
        <w:t xml:space="preserve"> </w:t>
      </w:r>
      <w:r w:rsidRPr="00F675A1">
        <w:rPr>
          <w:szCs w:val="22"/>
          <w:lang w:val="es-ES_tradnl"/>
        </w:rPr>
        <w:t xml:space="preserve">Las Oficinas pueden experimentar con </w:t>
      </w:r>
      <w:r w:rsidR="00F675A1">
        <w:rPr>
          <w:szCs w:val="22"/>
          <w:lang w:val="es-ES_tradnl"/>
        </w:rPr>
        <w:t>estas incidencias no especificada</w:t>
      </w:r>
      <w:r w:rsidRPr="00F675A1">
        <w:rPr>
          <w:szCs w:val="22"/>
          <w:lang w:val="es-ES_tradnl"/>
        </w:rPr>
        <w:t xml:space="preserve">s según sus necesidades, y los datos sobre el uso de </w:t>
      </w:r>
      <w:r w:rsidR="00F675A1">
        <w:rPr>
          <w:szCs w:val="22"/>
          <w:lang w:val="es-ES_tradnl"/>
        </w:rPr>
        <w:t>incidencias no especificada</w:t>
      </w:r>
      <w:r w:rsidRPr="00F675A1">
        <w:rPr>
          <w:szCs w:val="22"/>
          <w:lang w:val="es-ES_tradnl"/>
        </w:rPr>
        <w:t xml:space="preserve">s pueden recopilarse y examinarse para su inclusión </w:t>
      </w:r>
      <w:r w:rsidR="00F675A1">
        <w:rPr>
          <w:szCs w:val="22"/>
          <w:lang w:val="es-ES_tradnl"/>
        </w:rPr>
        <w:t>en forma de incidencias periódica</w:t>
      </w:r>
      <w:r w:rsidRPr="00F675A1">
        <w:rPr>
          <w:szCs w:val="22"/>
          <w:lang w:val="es-ES_tradnl"/>
        </w:rPr>
        <w:t>s en futuras versiones de la Norma ST.27.</w:t>
      </w:r>
    </w:p>
    <w:p w14:paraId="3BB9C627" w14:textId="460952B6" w:rsidR="001322CF" w:rsidRDefault="00FB0E1F" w:rsidP="00FB0E1F">
      <w:pPr>
        <w:numPr>
          <w:ilvl w:val="0"/>
          <w:numId w:val="5"/>
        </w:numPr>
        <w:tabs>
          <w:tab w:val="clear" w:pos="567"/>
        </w:tabs>
        <w:spacing w:before="120" w:after="220"/>
        <w:rPr>
          <w:szCs w:val="22"/>
          <w:lang w:val="es-ES"/>
        </w:rPr>
      </w:pPr>
      <w:r w:rsidRPr="00FB0E1F">
        <w:rPr>
          <w:szCs w:val="22"/>
          <w:lang w:val="es-ES_tradnl"/>
        </w:rPr>
        <w:t>La propuesta también presenta una serie de posibles inconvenientes.</w:t>
      </w:r>
      <w:r w:rsidR="00A34459" w:rsidRPr="00440746">
        <w:rPr>
          <w:szCs w:val="22"/>
          <w:lang w:val="es-ES"/>
        </w:rPr>
        <w:t xml:space="preserve"> </w:t>
      </w:r>
      <w:r w:rsidRPr="00FB0E1F">
        <w:rPr>
          <w:szCs w:val="22"/>
          <w:lang w:val="es-ES_tradnl"/>
        </w:rPr>
        <w:t xml:space="preserve">Algunas Oficinas prefieren </w:t>
      </w:r>
      <w:r w:rsidR="00F675A1">
        <w:rPr>
          <w:szCs w:val="22"/>
          <w:lang w:val="es-ES_tradnl"/>
        </w:rPr>
        <w:t xml:space="preserve">utilizar los códigos existentes porque son </w:t>
      </w:r>
      <w:r w:rsidRPr="00FB0E1F">
        <w:rPr>
          <w:szCs w:val="22"/>
          <w:lang w:val="es-ES_tradnl"/>
        </w:rPr>
        <w:t xml:space="preserve">más breves o </w:t>
      </w:r>
      <w:r w:rsidR="00F675A1">
        <w:rPr>
          <w:szCs w:val="22"/>
          <w:lang w:val="es-ES_tradnl"/>
        </w:rPr>
        <w:t>sencillo</w:t>
      </w:r>
      <w:r w:rsidRPr="00FB0E1F">
        <w:rPr>
          <w:szCs w:val="22"/>
          <w:lang w:val="es-ES_tradnl"/>
        </w:rPr>
        <w:t>s.</w:t>
      </w:r>
      <w:r w:rsidR="00F675A1">
        <w:rPr>
          <w:szCs w:val="22"/>
          <w:lang w:val="es-ES"/>
        </w:rPr>
        <w:t xml:space="preserve"> </w:t>
      </w:r>
      <w:r w:rsidRPr="00FB0E1F">
        <w:rPr>
          <w:szCs w:val="22"/>
          <w:lang w:val="es-ES_tradnl"/>
        </w:rPr>
        <w:t xml:space="preserve">Algunas </w:t>
      </w:r>
      <w:r w:rsidR="00F675A1">
        <w:rPr>
          <w:szCs w:val="22"/>
          <w:lang w:val="es-ES_tradnl"/>
        </w:rPr>
        <w:t>O</w:t>
      </w:r>
      <w:r w:rsidRPr="00FB0E1F">
        <w:rPr>
          <w:szCs w:val="22"/>
          <w:lang w:val="es-ES_tradnl"/>
        </w:rPr>
        <w:t xml:space="preserve">ficinas </w:t>
      </w:r>
      <w:r w:rsidR="00F675A1">
        <w:rPr>
          <w:szCs w:val="22"/>
          <w:lang w:val="es-ES_tradnl"/>
        </w:rPr>
        <w:t xml:space="preserve">desean </w:t>
      </w:r>
      <w:r w:rsidRPr="00FB0E1F">
        <w:rPr>
          <w:szCs w:val="22"/>
          <w:lang w:val="es-ES_tradnl"/>
        </w:rPr>
        <w:t>mantener el sistema actual para preservar sus inversiones o planes de aplicación.</w:t>
      </w:r>
      <w:r w:rsidR="00432A30" w:rsidRPr="00440746">
        <w:rPr>
          <w:szCs w:val="22"/>
          <w:lang w:val="es-ES"/>
        </w:rPr>
        <w:t xml:space="preserve">  </w:t>
      </w:r>
      <w:r w:rsidRPr="00FB0E1F">
        <w:rPr>
          <w:szCs w:val="22"/>
          <w:lang w:val="es-ES_tradnl"/>
        </w:rPr>
        <w:t xml:space="preserve">Algunas </w:t>
      </w:r>
      <w:r w:rsidR="00F675A1">
        <w:rPr>
          <w:szCs w:val="22"/>
          <w:lang w:val="es-ES_tradnl"/>
        </w:rPr>
        <w:t>O</w:t>
      </w:r>
      <w:r w:rsidRPr="00FB0E1F">
        <w:rPr>
          <w:szCs w:val="22"/>
          <w:lang w:val="es-ES_tradnl"/>
        </w:rPr>
        <w:t xml:space="preserve">ficinas no están convencidas de que </w:t>
      </w:r>
      <w:r w:rsidR="00F675A1">
        <w:rPr>
          <w:szCs w:val="22"/>
          <w:lang w:val="es-ES_tradnl"/>
        </w:rPr>
        <w:t xml:space="preserve">merezca la pena </w:t>
      </w:r>
      <w:r w:rsidR="00F675A1" w:rsidRPr="00FB0E1F">
        <w:rPr>
          <w:szCs w:val="22"/>
          <w:lang w:val="es-ES_tradnl"/>
        </w:rPr>
        <w:t xml:space="preserve">la mayor complejidad </w:t>
      </w:r>
      <w:r w:rsidR="005A5FDA">
        <w:rPr>
          <w:szCs w:val="22"/>
          <w:lang w:val="es-ES_tradnl"/>
        </w:rPr>
        <w:t xml:space="preserve">que supone indicar </w:t>
      </w:r>
      <w:r w:rsidR="00F675A1" w:rsidRPr="00FB0E1F">
        <w:rPr>
          <w:szCs w:val="22"/>
          <w:lang w:val="es-ES_tradnl"/>
        </w:rPr>
        <w:t>la información adicional</w:t>
      </w:r>
      <w:r w:rsidR="00F675A1">
        <w:rPr>
          <w:szCs w:val="22"/>
          <w:lang w:val="es-ES_tradnl"/>
        </w:rPr>
        <w:t xml:space="preserve"> en aras de </w:t>
      </w:r>
      <w:r w:rsidRPr="00FB0E1F">
        <w:rPr>
          <w:szCs w:val="22"/>
          <w:lang w:val="es-ES_tradnl"/>
        </w:rPr>
        <w:t>los posibles beneficios.</w:t>
      </w:r>
      <w:r w:rsidR="00432A30" w:rsidRPr="00440746">
        <w:rPr>
          <w:szCs w:val="22"/>
          <w:lang w:val="es-ES"/>
        </w:rPr>
        <w:t xml:space="preserve"> </w:t>
      </w:r>
      <w:r w:rsidR="005A5FDA">
        <w:rPr>
          <w:szCs w:val="22"/>
          <w:lang w:val="es-ES"/>
        </w:rPr>
        <w:t>En cambio</w:t>
      </w:r>
      <w:r w:rsidRPr="00FB0E1F">
        <w:rPr>
          <w:szCs w:val="22"/>
          <w:lang w:val="es-ES_tradnl"/>
        </w:rPr>
        <w:t xml:space="preserve">, otras </w:t>
      </w:r>
      <w:r w:rsidR="005A5FDA">
        <w:rPr>
          <w:szCs w:val="22"/>
          <w:lang w:val="es-ES_tradnl"/>
        </w:rPr>
        <w:t>O</w:t>
      </w:r>
      <w:r w:rsidRPr="00FB0E1F">
        <w:rPr>
          <w:szCs w:val="22"/>
          <w:lang w:val="es-ES_tradnl"/>
        </w:rPr>
        <w:t>ficinas no consideran que los cambios pr</w:t>
      </w:r>
      <w:r w:rsidR="005A5FDA">
        <w:rPr>
          <w:szCs w:val="22"/>
          <w:lang w:val="es-ES_tradnl"/>
        </w:rPr>
        <w:t>opuestos sean suficientes</w:t>
      </w:r>
      <w:r w:rsidRPr="00FB0E1F">
        <w:rPr>
          <w:szCs w:val="22"/>
          <w:lang w:val="es-ES_tradnl"/>
        </w:rPr>
        <w:t xml:space="preserve"> y que </w:t>
      </w:r>
      <w:r w:rsidR="005A5FDA">
        <w:rPr>
          <w:szCs w:val="22"/>
          <w:lang w:val="es-ES_tradnl"/>
        </w:rPr>
        <w:t xml:space="preserve">quizá </w:t>
      </w:r>
      <w:r w:rsidRPr="00FB0E1F">
        <w:rPr>
          <w:szCs w:val="22"/>
          <w:lang w:val="es-ES_tradnl"/>
        </w:rPr>
        <w:t xml:space="preserve">sea necesario realizar una reorganización más amplia de la lista de </w:t>
      </w:r>
      <w:r w:rsidR="005A5FDA">
        <w:rPr>
          <w:szCs w:val="22"/>
          <w:lang w:val="es-ES_tradnl"/>
        </w:rPr>
        <w:t xml:space="preserve">incidencias </w:t>
      </w:r>
      <w:r w:rsidRPr="00FB0E1F">
        <w:rPr>
          <w:szCs w:val="22"/>
          <w:lang w:val="es-ES_tradnl"/>
        </w:rPr>
        <w:t xml:space="preserve">y </w:t>
      </w:r>
      <w:r w:rsidR="005A5FDA">
        <w:rPr>
          <w:szCs w:val="22"/>
          <w:lang w:val="es-ES_tradnl"/>
        </w:rPr>
        <w:t>códigos</w:t>
      </w:r>
      <w:r w:rsidRPr="00FB0E1F">
        <w:rPr>
          <w:szCs w:val="22"/>
          <w:lang w:val="es-ES_tradnl"/>
        </w:rPr>
        <w:t>.</w:t>
      </w:r>
    </w:p>
    <w:p w14:paraId="7A689FC3" w14:textId="10D6748A" w:rsidR="001322CF" w:rsidRDefault="00FB0E1F" w:rsidP="00FB0E1F">
      <w:pPr>
        <w:keepNext/>
        <w:spacing w:before="240" w:after="60"/>
        <w:rPr>
          <w:szCs w:val="22"/>
          <w:lang w:val="es-ES"/>
        </w:rPr>
      </w:pPr>
      <w:r w:rsidRPr="00FB0E1F">
        <w:rPr>
          <w:szCs w:val="22"/>
          <w:lang w:val="es-ES_tradnl"/>
        </w:rPr>
        <w:t>CAMBIOS EN EL CUERPO PRINCIPAL DE LA NORMA ST.27</w:t>
      </w:r>
    </w:p>
    <w:p w14:paraId="36AE1767" w14:textId="3B4AB46D" w:rsidR="001322CF" w:rsidRDefault="006A7D77" w:rsidP="006A7D77">
      <w:pPr>
        <w:numPr>
          <w:ilvl w:val="0"/>
          <w:numId w:val="5"/>
        </w:numPr>
        <w:tabs>
          <w:tab w:val="clear" w:pos="567"/>
        </w:tabs>
        <w:spacing w:after="120"/>
        <w:rPr>
          <w:szCs w:val="22"/>
          <w:lang w:val="es-ES"/>
        </w:rPr>
      </w:pPr>
      <w:r w:rsidRPr="006A7D77">
        <w:rPr>
          <w:szCs w:val="22"/>
          <w:lang w:val="es-ES_tradnl"/>
        </w:rPr>
        <w:t xml:space="preserve">Debido a esas cuestiones relativas a la organización de </w:t>
      </w:r>
      <w:r w:rsidR="00B42CD4">
        <w:rPr>
          <w:szCs w:val="22"/>
          <w:lang w:val="es-ES_tradnl"/>
        </w:rPr>
        <w:t>las incidencias</w:t>
      </w:r>
      <w:r w:rsidRPr="006A7D77">
        <w:rPr>
          <w:szCs w:val="22"/>
          <w:lang w:val="es-ES_tradnl"/>
        </w:rPr>
        <w:t xml:space="preserve">, el </w:t>
      </w:r>
      <w:r w:rsidR="006D6A06">
        <w:rPr>
          <w:szCs w:val="22"/>
          <w:lang w:val="es-ES_tradnl"/>
        </w:rPr>
        <w:t>Equipo Técnico</w:t>
      </w:r>
      <w:r w:rsidRPr="006A7D77">
        <w:rPr>
          <w:szCs w:val="22"/>
          <w:lang w:val="es-ES_tradnl"/>
        </w:rPr>
        <w:t xml:space="preserve"> necesita más tiempo para examinar esta propuesta.</w:t>
      </w:r>
      <w:r w:rsidR="00B42CD4">
        <w:rPr>
          <w:szCs w:val="22"/>
          <w:lang w:val="es-ES"/>
        </w:rPr>
        <w:t xml:space="preserve"> </w:t>
      </w:r>
      <w:r w:rsidRPr="006A7D77">
        <w:rPr>
          <w:szCs w:val="22"/>
          <w:lang w:val="es-ES_tradnl"/>
        </w:rPr>
        <w:t xml:space="preserve">Algunos miembros del Equipo Técnico estaban a favor de la propuesta, algunos eran reacios a efectuar cambios, mientras que otros querían </w:t>
      </w:r>
      <w:r w:rsidR="00B42CD4">
        <w:rPr>
          <w:szCs w:val="22"/>
          <w:lang w:val="es-ES_tradnl"/>
        </w:rPr>
        <w:t>estudiar</w:t>
      </w:r>
      <w:r w:rsidRPr="006A7D77">
        <w:rPr>
          <w:szCs w:val="22"/>
          <w:lang w:val="es-ES_tradnl"/>
        </w:rPr>
        <w:t xml:space="preserve"> formas alternativas de clasificar </w:t>
      </w:r>
      <w:r w:rsidR="00B42CD4">
        <w:rPr>
          <w:szCs w:val="22"/>
          <w:lang w:val="es-ES_tradnl"/>
        </w:rPr>
        <w:t xml:space="preserve">las incidencias </w:t>
      </w:r>
      <w:r w:rsidRPr="006A7D77">
        <w:rPr>
          <w:szCs w:val="22"/>
          <w:lang w:val="es-ES_tradnl"/>
        </w:rPr>
        <w:t>de</w:t>
      </w:r>
      <w:r w:rsidR="00B42CD4">
        <w:rPr>
          <w:szCs w:val="22"/>
          <w:lang w:val="es-ES_tradnl"/>
        </w:rPr>
        <w:t xml:space="preserve"> la Norma</w:t>
      </w:r>
      <w:r w:rsidRPr="006A7D77">
        <w:rPr>
          <w:szCs w:val="22"/>
          <w:lang w:val="es-ES_tradnl"/>
        </w:rPr>
        <w:t xml:space="preserve"> </w:t>
      </w:r>
      <w:r w:rsidR="00B42CD4">
        <w:rPr>
          <w:szCs w:val="22"/>
          <w:lang w:val="es-ES_tradnl"/>
        </w:rPr>
        <w:t>S</w:t>
      </w:r>
      <w:r w:rsidRPr="006A7D77">
        <w:rPr>
          <w:szCs w:val="22"/>
          <w:lang w:val="es-ES_tradnl"/>
        </w:rPr>
        <w:t>T.27.</w:t>
      </w:r>
      <w:r w:rsidR="0077256C" w:rsidRPr="00440746">
        <w:rPr>
          <w:szCs w:val="22"/>
          <w:lang w:val="es-ES"/>
        </w:rPr>
        <w:t xml:space="preserve">  </w:t>
      </w:r>
      <w:r w:rsidRPr="006A7D77">
        <w:rPr>
          <w:szCs w:val="22"/>
          <w:lang w:val="es-ES_tradnl"/>
        </w:rPr>
        <w:t xml:space="preserve">Dado que el Equipo Técnico sigue revisando la propuesta, en la séptima sesión del CWS se presentará </w:t>
      </w:r>
      <w:r w:rsidR="00B42CD4">
        <w:rPr>
          <w:szCs w:val="22"/>
          <w:lang w:val="es-ES_tradnl"/>
        </w:rPr>
        <w:t xml:space="preserve">más </w:t>
      </w:r>
      <w:r w:rsidRPr="006A7D77">
        <w:rPr>
          <w:szCs w:val="22"/>
          <w:lang w:val="es-ES_tradnl"/>
        </w:rPr>
        <w:t>información sobre la propuesta</w:t>
      </w:r>
      <w:r w:rsidR="00B42CD4">
        <w:rPr>
          <w:szCs w:val="22"/>
          <w:lang w:val="es-ES_tradnl"/>
        </w:rPr>
        <w:t xml:space="preserve"> por medio de un informe verbal</w:t>
      </w:r>
      <w:r w:rsidRPr="006A7D77">
        <w:rPr>
          <w:szCs w:val="22"/>
          <w:lang w:val="es-ES_tradnl"/>
        </w:rPr>
        <w:t>.</w:t>
      </w:r>
    </w:p>
    <w:p w14:paraId="42FB8AE3" w14:textId="6DE8A2D8" w:rsidR="001322CF" w:rsidRDefault="00636942" w:rsidP="006A7D77">
      <w:pPr>
        <w:keepLines/>
        <w:numPr>
          <w:ilvl w:val="0"/>
          <w:numId w:val="5"/>
        </w:numPr>
        <w:tabs>
          <w:tab w:val="clear" w:pos="567"/>
        </w:tabs>
        <w:spacing w:after="220"/>
        <w:rPr>
          <w:szCs w:val="22"/>
          <w:lang w:val="es-ES"/>
        </w:rPr>
      </w:pPr>
      <w:r>
        <w:rPr>
          <w:szCs w:val="22"/>
          <w:lang w:val="es-ES_tradnl"/>
        </w:rPr>
        <w:t xml:space="preserve">Conviene poner a punto </w:t>
      </w:r>
      <w:r w:rsidR="006A7D77" w:rsidRPr="006A7D77">
        <w:rPr>
          <w:szCs w:val="22"/>
          <w:lang w:val="es-ES_tradnl"/>
        </w:rPr>
        <w:t xml:space="preserve">el formato del código de incidencia relativa a la situación de la Norma ST.27 para que las OPI puedan </w:t>
      </w:r>
      <w:r w:rsidR="007B33D4">
        <w:rPr>
          <w:szCs w:val="22"/>
          <w:lang w:val="es-ES_tradnl"/>
        </w:rPr>
        <w:t>aplicar con seguridad</w:t>
      </w:r>
      <w:r w:rsidR="006A7D77" w:rsidRPr="006A7D77">
        <w:rPr>
          <w:szCs w:val="22"/>
          <w:lang w:val="es-ES_tradnl"/>
        </w:rPr>
        <w:t xml:space="preserve"> </w:t>
      </w:r>
      <w:r>
        <w:rPr>
          <w:szCs w:val="22"/>
          <w:lang w:val="es-ES_tradnl"/>
        </w:rPr>
        <w:t>dicha n</w:t>
      </w:r>
      <w:r w:rsidR="006A7D77" w:rsidRPr="006A7D77">
        <w:rPr>
          <w:szCs w:val="22"/>
          <w:lang w:val="es-ES_tradnl"/>
        </w:rPr>
        <w:t>orma</w:t>
      </w:r>
      <w:r w:rsidR="007B33D4">
        <w:rPr>
          <w:szCs w:val="22"/>
          <w:lang w:val="es-ES_tradnl"/>
        </w:rPr>
        <w:t xml:space="preserve">. Por lo tanto, la Oficina Internacional </w:t>
      </w:r>
      <w:r w:rsidR="006A7D77" w:rsidRPr="006A7D77">
        <w:rPr>
          <w:szCs w:val="22"/>
          <w:lang w:val="es-ES_tradnl"/>
        </w:rPr>
        <w:t xml:space="preserve">propone que se añadan tres caracteres adicionales al final de </w:t>
      </w:r>
      <w:r w:rsidR="007B33D4">
        <w:rPr>
          <w:szCs w:val="22"/>
          <w:lang w:val="es-ES_tradnl"/>
        </w:rPr>
        <w:t xml:space="preserve">los códigos de incidencias de </w:t>
      </w:r>
      <w:r w:rsidR="006A7D77" w:rsidRPr="006A7D77">
        <w:rPr>
          <w:szCs w:val="22"/>
          <w:lang w:val="es-ES_tradnl"/>
        </w:rPr>
        <w:t>la Norma</w:t>
      </w:r>
      <w:r w:rsidR="007B33D4">
        <w:rPr>
          <w:szCs w:val="22"/>
          <w:lang w:val="es-ES_tradnl"/>
        </w:rPr>
        <w:t> </w:t>
      </w:r>
      <w:r w:rsidR="006A7D77" w:rsidRPr="006A7D77">
        <w:rPr>
          <w:szCs w:val="22"/>
          <w:lang w:val="es-ES_tradnl"/>
        </w:rPr>
        <w:t>ST.27.</w:t>
      </w:r>
      <w:r w:rsidR="004B3029" w:rsidRPr="00440746">
        <w:rPr>
          <w:szCs w:val="22"/>
          <w:lang w:val="es-ES"/>
        </w:rPr>
        <w:t xml:space="preserve"> </w:t>
      </w:r>
      <w:r w:rsidR="006A7D77" w:rsidRPr="006A7D77">
        <w:rPr>
          <w:szCs w:val="22"/>
          <w:lang w:val="es-ES_tradnl"/>
        </w:rPr>
        <w:t xml:space="preserve">Los caracteres </w:t>
      </w:r>
      <w:r w:rsidR="007B33D4">
        <w:rPr>
          <w:szCs w:val="22"/>
          <w:lang w:val="es-ES_tradnl"/>
        </w:rPr>
        <w:t>reservados se fijarán en forma de “xxx”</w:t>
      </w:r>
      <w:r w:rsidR="006A7D77" w:rsidRPr="006A7D77">
        <w:rPr>
          <w:szCs w:val="22"/>
          <w:lang w:val="es-ES_tradnl"/>
        </w:rPr>
        <w:t xml:space="preserve"> en la versión de la Norma ST.27 que se apruebe en la presente sesión del CWS. Muchas normas </w:t>
      </w:r>
      <w:r w:rsidR="00A65674">
        <w:rPr>
          <w:szCs w:val="22"/>
          <w:lang w:val="es-ES_tradnl"/>
        </w:rPr>
        <w:t xml:space="preserve">técnicas </w:t>
      </w:r>
      <w:r w:rsidR="006A7D77" w:rsidRPr="006A7D77">
        <w:rPr>
          <w:szCs w:val="22"/>
          <w:lang w:val="es-ES_tradnl"/>
        </w:rPr>
        <w:t xml:space="preserve">del sector incluyen campos reservados para su posible utilización en el futuro, al igual que en el caso de varias normas de la OMPI, como la </w:t>
      </w:r>
      <w:r w:rsidR="00550FEB">
        <w:rPr>
          <w:szCs w:val="22"/>
          <w:lang w:val="es-ES_tradnl"/>
        </w:rPr>
        <w:t xml:space="preserve">Norma </w:t>
      </w:r>
      <w:r w:rsidR="006A7D77" w:rsidRPr="006A7D77">
        <w:rPr>
          <w:szCs w:val="22"/>
          <w:lang w:val="es-ES_tradnl"/>
        </w:rPr>
        <w:t>ST</w:t>
      </w:r>
      <w:r w:rsidR="00550FEB">
        <w:rPr>
          <w:szCs w:val="22"/>
          <w:lang w:val="es-ES_tradnl"/>
        </w:rPr>
        <w:t>.</w:t>
      </w:r>
      <w:r w:rsidR="006A7D77" w:rsidRPr="006A7D77">
        <w:rPr>
          <w:szCs w:val="22"/>
          <w:lang w:val="es-ES_tradnl"/>
        </w:rPr>
        <w:t>8</w:t>
      </w:r>
      <w:r w:rsidR="00550FEB">
        <w:rPr>
          <w:szCs w:val="22"/>
          <w:lang w:val="es-ES_tradnl"/>
        </w:rPr>
        <w:t>. E</w:t>
      </w:r>
      <w:r w:rsidR="006A7D77" w:rsidRPr="006A7D77">
        <w:rPr>
          <w:szCs w:val="22"/>
          <w:lang w:val="es-ES_tradnl"/>
        </w:rPr>
        <w:t>l Equipo Técnico continuará ex</w:t>
      </w:r>
      <w:r w:rsidR="00550FEB">
        <w:rPr>
          <w:szCs w:val="22"/>
          <w:lang w:val="es-ES_tradnl"/>
        </w:rPr>
        <w:t xml:space="preserve">aminando </w:t>
      </w:r>
      <w:r w:rsidR="006A7D77" w:rsidRPr="006A7D77">
        <w:rPr>
          <w:szCs w:val="22"/>
          <w:lang w:val="es-ES_tradnl"/>
        </w:rPr>
        <w:t>posibles usos de esos caracteres reservados</w:t>
      </w:r>
      <w:r w:rsidR="00A65674">
        <w:rPr>
          <w:szCs w:val="22"/>
          <w:lang w:val="es-ES_tradnl"/>
        </w:rPr>
        <w:t xml:space="preserve"> tras la séptima sesión del CWS </w:t>
      </w:r>
      <w:r w:rsidR="00550FEB">
        <w:rPr>
          <w:szCs w:val="22"/>
          <w:lang w:val="es-ES_tradnl"/>
        </w:rPr>
        <w:t xml:space="preserve">y </w:t>
      </w:r>
      <w:r w:rsidR="006A7D77" w:rsidRPr="006A7D77">
        <w:rPr>
          <w:szCs w:val="22"/>
          <w:lang w:val="es-ES_tradnl"/>
        </w:rPr>
        <w:t>presentará una propuesta para utilizar los caracteres reservados en la octava sesión del CWS</w:t>
      </w:r>
      <w:r w:rsidR="00550FEB">
        <w:rPr>
          <w:szCs w:val="22"/>
          <w:lang w:val="es-ES_tradnl"/>
        </w:rPr>
        <w:t>,</w:t>
      </w:r>
      <w:r w:rsidR="006A7D77" w:rsidRPr="006A7D77">
        <w:rPr>
          <w:szCs w:val="22"/>
          <w:lang w:val="es-ES_tradnl"/>
        </w:rPr>
        <w:t xml:space="preserve"> si el </w:t>
      </w:r>
      <w:r w:rsidR="006D6A06">
        <w:rPr>
          <w:szCs w:val="22"/>
          <w:lang w:val="es-ES_tradnl"/>
        </w:rPr>
        <w:t>Equipo Técnico</w:t>
      </w:r>
      <w:r w:rsidR="006A7D77" w:rsidRPr="006A7D77">
        <w:rPr>
          <w:szCs w:val="22"/>
          <w:lang w:val="es-ES_tradnl"/>
        </w:rPr>
        <w:t xml:space="preserve"> </w:t>
      </w:r>
      <w:r w:rsidR="00550FEB">
        <w:rPr>
          <w:szCs w:val="22"/>
          <w:lang w:val="es-ES_tradnl"/>
        </w:rPr>
        <w:t>llega</w:t>
      </w:r>
      <w:r w:rsidR="006A7D77" w:rsidRPr="006A7D77">
        <w:rPr>
          <w:szCs w:val="22"/>
          <w:lang w:val="es-ES_tradnl"/>
        </w:rPr>
        <w:t xml:space="preserve"> a un acuerdo.</w:t>
      </w:r>
      <w:r w:rsidR="00550FEB">
        <w:rPr>
          <w:szCs w:val="22"/>
          <w:lang w:val="es-ES"/>
        </w:rPr>
        <w:t xml:space="preserve"> </w:t>
      </w:r>
      <w:r w:rsidR="006A7D77" w:rsidRPr="006A7D77">
        <w:rPr>
          <w:szCs w:val="22"/>
          <w:lang w:val="es-ES_tradnl"/>
        </w:rPr>
        <w:t xml:space="preserve">Hasta que el CWS apruebe </w:t>
      </w:r>
      <w:r w:rsidR="00550FEB">
        <w:rPr>
          <w:szCs w:val="22"/>
          <w:lang w:val="es-ES_tradnl"/>
        </w:rPr>
        <w:t xml:space="preserve">dicha </w:t>
      </w:r>
      <w:r w:rsidR="006A7D77" w:rsidRPr="006A7D77">
        <w:rPr>
          <w:szCs w:val="22"/>
          <w:lang w:val="es-ES_tradnl"/>
        </w:rPr>
        <w:t xml:space="preserve">propuesta en el futuro, </w:t>
      </w:r>
      <w:r>
        <w:rPr>
          <w:szCs w:val="22"/>
          <w:lang w:val="es-ES_tradnl"/>
        </w:rPr>
        <w:t xml:space="preserve">se indicará que </w:t>
      </w:r>
      <w:r w:rsidR="00550FEB">
        <w:rPr>
          <w:szCs w:val="22"/>
          <w:lang w:val="es-ES_tradnl"/>
        </w:rPr>
        <w:t xml:space="preserve">esos </w:t>
      </w:r>
      <w:r w:rsidR="006A7D77" w:rsidRPr="006A7D77">
        <w:rPr>
          <w:szCs w:val="22"/>
          <w:lang w:val="es-ES_tradnl"/>
        </w:rPr>
        <w:t xml:space="preserve">caracteres </w:t>
      </w:r>
      <w:r>
        <w:rPr>
          <w:szCs w:val="22"/>
          <w:lang w:val="es-ES_tradnl"/>
        </w:rPr>
        <w:t xml:space="preserve">están </w:t>
      </w:r>
      <w:r w:rsidR="00550FEB">
        <w:rPr>
          <w:szCs w:val="22"/>
          <w:lang w:val="es-ES_tradnl"/>
        </w:rPr>
        <w:t xml:space="preserve">reservados </w:t>
      </w:r>
      <w:r w:rsidR="006A7D77" w:rsidRPr="006A7D77">
        <w:rPr>
          <w:szCs w:val="22"/>
          <w:lang w:val="es-ES_tradnl"/>
        </w:rPr>
        <w:t>para su utilización en el futuro.</w:t>
      </w:r>
    </w:p>
    <w:p w14:paraId="30217CC8" w14:textId="4425BD16" w:rsidR="001322CF" w:rsidRPr="00423916" w:rsidRDefault="006A7D77" w:rsidP="006A7D77">
      <w:pPr>
        <w:numPr>
          <w:ilvl w:val="0"/>
          <w:numId w:val="5"/>
        </w:numPr>
        <w:tabs>
          <w:tab w:val="clear" w:pos="567"/>
        </w:tabs>
        <w:spacing w:after="120"/>
        <w:rPr>
          <w:szCs w:val="22"/>
          <w:lang w:val="es-ES"/>
        </w:rPr>
      </w:pPr>
      <w:r w:rsidRPr="006A7D77">
        <w:rPr>
          <w:szCs w:val="22"/>
          <w:lang w:val="es-ES_tradnl"/>
        </w:rPr>
        <w:t xml:space="preserve">A fin de </w:t>
      </w:r>
      <w:r w:rsidR="00423916">
        <w:rPr>
          <w:szCs w:val="22"/>
          <w:lang w:val="es-ES_tradnl"/>
        </w:rPr>
        <w:t>plasmar</w:t>
      </w:r>
      <w:r w:rsidRPr="006A7D77">
        <w:rPr>
          <w:szCs w:val="22"/>
          <w:lang w:val="es-ES_tradnl"/>
        </w:rPr>
        <w:t xml:space="preserve"> esta propuesta, se proponen los siguientes cambios en el cuerpo principal de la Norma ST.27 (</w:t>
      </w:r>
      <w:r w:rsidR="00423916">
        <w:rPr>
          <w:szCs w:val="22"/>
          <w:lang w:val="es-ES_tradnl"/>
        </w:rPr>
        <w:t xml:space="preserve">se indican los </w:t>
      </w:r>
      <w:r w:rsidRPr="006A7D77">
        <w:rPr>
          <w:szCs w:val="22"/>
          <w:lang w:val="es-ES_tradnl"/>
        </w:rPr>
        <w:t>cambios con respecto a la versión publicada en noviembre de 2018):</w:t>
      </w:r>
    </w:p>
    <w:p w14:paraId="555772DF" w14:textId="2DFCBC61" w:rsidR="001322CF" w:rsidRPr="008C3C5A" w:rsidRDefault="006576F4" w:rsidP="000C0F01">
      <w:pPr>
        <w:pStyle w:val="ListParagraph"/>
        <w:numPr>
          <w:ilvl w:val="0"/>
          <w:numId w:val="21"/>
        </w:numPr>
        <w:ind w:left="567" w:hanging="567"/>
        <w:rPr>
          <w:lang w:val="es-ES"/>
        </w:rPr>
      </w:pPr>
      <w:bookmarkStart w:id="6" w:name="_Toc482349060"/>
      <w:r w:rsidRPr="008C3C5A">
        <w:rPr>
          <w:bCs/>
          <w:iCs/>
          <w:lang w:val="es-ES"/>
        </w:rPr>
        <w:t>Código de incidencia principal</w:t>
      </w:r>
      <w:bookmarkEnd w:id="6"/>
      <w:r w:rsidRPr="008C3C5A">
        <w:rPr>
          <w:bCs/>
          <w:iCs/>
          <w:lang w:val="es-ES"/>
        </w:rPr>
        <w:t xml:space="preserve"> en el párrafo </w:t>
      </w:r>
      <w:r w:rsidR="00A7790F" w:rsidRPr="008C3C5A">
        <w:rPr>
          <w:iCs/>
          <w:lang w:val="es-ES"/>
        </w:rPr>
        <w:t>31</w:t>
      </w:r>
      <w:r w:rsidR="00300EC6" w:rsidRPr="008C3C5A">
        <w:rPr>
          <w:iCs/>
          <w:lang w:val="es-ES"/>
        </w:rPr>
        <w:t>:</w:t>
      </w:r>
    </w:p>
    <w:p w14:paraId="303E2FEA" w14:textId="53C6F6CC" w:rsidR="00883E39" w:rsidRDefault="00300EC6" w:rsidP="00883E39">
      <w:pPr>
        <w:pStyle w:val="ListParagraph"/>
        <w:spacing w:after="200"/>
        <w:ind w:left="567"/>
        <w:rPr>
          <w:szCs w:val="22"/>
          <w:u w:val="single"/>
          <w:lang w:val="es-ES"/>
        </w:rPr>
      </w:pPr>
      <w:r w:rsidRPr="008C3C5A">
        <w:rPr>
          <w:szCs w:val="22"/>
          <w:lang w:val="es-ES"/>
        </w:rPr>
        <w:t>31</w:t>
      </w:r>
      <w:r w:rsidR="0031768F" w:rsidRPr="008C3C5A">
        <w:rPr>
          <w:szCs w:val="22"/>
          <w:lang w:val="es-ES"/>
        </w:rPr>
        <w:t xml:space="preserve">.  </w:t>
      </w:r>
      <w:r w:rsidR="006576F4" w:rsidRPr="008C3C5A">
        <w:rPr>
          <w:szCs w:val="22"/>
          <w:lang w:val="es-ES"/>
        </w:rPr>
        <w:t>Las incidencias principales están formadas por la combinación de una única letra seguida del número “10”</w:t>
      </w:r>
      <w:r w:rsidR="006576F4" w:rsidRPr="008C3C5A">
        <w:rPr>
          <w:szCs w:val="22"/>
          <w:u w:val="single"/>
          <w:lang w:val="es-ES"/>
        </w:rPr>
        <w:t xml:space="preserve">, un </w:t>
      </w:r>
      <w:r w:rsidR="00745F61" w:rsidRPr="008C3C5A">
        <w:rPr>
          <w:szCs w:val="22"/>
          <w:u w:val="single"/>
          <w:lang w:val="es-ES"/>
        </w:rPr>
        <w:t>punto</w:t>
      </w:r>
      <w:r w:rsidR="006576F4" w:rsidRPr="008C3C5A">
        <w:rPr>
          <w:szCs w:val="22"/>
          <w:u w:val="single"/>
          <w:lang w:val="es-ES"/>
        </w:rPr>
        <w:t xml:space="preserve"> y “xxx”</w:t>
      </w:r>
      <w:r w:rsidR="006576F4" w:rsidRPr="008C3C5A">
        <w:rPr>
          <w:szCs w:val="22"/>
          <w:lang w:val="es-ES"/>
        </w:rPr>
        <w:t>. Se asigna una letra a cada categoría.</w:t>
      </w:r>
      <w:r w:rsidR="00701FBF" w:rsidRPr="008C3C5A">
        <w:rPr>
          <w:szCs w:val="22"/>
          <w:u w:val="single"/>
          <w:lang w:val="es-ES"/>
        </w:rPr>
        <w:t xml:space="preserve"> </w:t>
      </w:r>
      <w:r w:rsidR="00745F61" w:rsidRPr="008C3C5A">
        <w:rPr>
          <w:szCs w:val="22"/>
          <w:u w:val="single"/>
          <w:lang w:val="es-ES"/>
        </w:rPr>
        <w:t>Los tres caracteres adicionales después del punto se reservan para su posible uso en el futuro</w:t>
      </w:r>
      <w:r w:rsidR="00701FBF" w:rsidRPr="008C3C5A">
        <w:rPr>
          <w:szCs w:val="22"/>
          <w:u w:val="single"/>
          <w:lang w:val="es-ES"/>
        </w:rPr>
        <w:t>.</w:t>
      </w:r>
    </w:p>
    <w:p w14:paraId="12F6CFCC" w14:textId="77777777" w:rsidR="00883E39" w:rsidRPr="00883E39" w:rsidRDefault="00883E39" w:rsidP="00883E39">
      <w:pPr>
        <w:pStyle w:val="ListParagraph"/>
        <w:spacing w:after="200"/>
        <w:ind w:left="567"/>
        <w:rPr>
          <w:szCs w:val="22"/>
          <w:u w:val="single"/>
          <w:lang w:val="es-ES"/>
        </w:rPr>
      </w:pPr>
    </w:p>
    <w:p w14:paraId="210B19A1" w14:textId="3674604C" w:rsidR="00A65674" w:rsidRPr="008C3C5A" w:rsidRDefault="006576F4" w:rsidP="00807C99">
      <w:pPr>
        <w:pStyle w:val="ListParagraph"/>
        <w:keepNext/>
        <w:keepLines/>
        <w:numPr>
          <w:ilvl w:val="0"/>
          <w:numId w:val="21"/>
        </w:numPr>
        <w:ind w:left="567" w:hanging="567"/>
        <w:rPr>
          <w:bCs/>
          <w:iCs/>
          <w:lang w:val="es-ES"/>
        </w:rPr>
      </w:pPr>
      <w:bookmarkStart w:id="7" w:name="_Toc482349061"/>
      <w:r w:rsidRPr="008C3C5A">
        <w:rPr>
          <w:bCs/>
          <w:iCs/>
          <w:lang w:val="es-ES"/>
        </w:rPr>
        <w:t>Código de incidencia detallada</w:t>
      </w:r>
      <w:bookmarkEnd w:id="7"/>
      <w:r w:rsidRPr="008C3C5A">
        <w:rPr>
          <w:bCs/>
          <w:iCs/>
          <w:lang w:val="es-ES"/>
        </w:rPr>
        <w:t xml:space="preserve"> en el párrafo 34:</w:t>
      </w:r>
    </w:p>
    <w:p w14:paraId="6C7D8D76" w14:textId="2225D939" w:rsidR="00817CC5" w:rsidRPr="008C3C5A" w:rsidRDefault="0061735B" w:rsidP="00807C99">
      <w:pPr>
        <w:pStyle w:val="ListParagraph"/>
        <w:keepNext/>
        <w:keepLines/>
        <w:ind w:left="567"/>
        <w:rPr>
          <w:szCs w:val="22"/>
          <w:lang w:val="es-ES"/>
        </w:rPr>
      </w:pPr>
      <w:r w:rsidRPr="008C3C5A">
        <w:rPr>
          <w:szCs w:val="22"/>
          <w:lang w:val="es-ES"/>
        </w:rPr>
        <w:t>34</w:t>
      </w:r>
      <w:r w:rsidR="0031768F" w:rsidRPr="008C3C5A">
        <w:rPr>
          <w:szCs w:val="22"/>
          <w:lang w:val="es-ES"/>
        </w:rPr>
        <w:t xml:space="preserve">.  </w:t>
      </w:r>
      <w:r w:rsidR="00817CC5" w:rsidRPr="008C3C5A">
        <w:rPr>
          <w:szCs w:val="22"/>
          <w:lang w:val="es-ES"/>
        </w:rPr>
        <w:t>El código de las incidencias detalladas se compone de una combinación de una letra seguida de un número de dos dígitos del 11 al 99</w:t>
      </w:r>
      <w:r w:rsidR="00817CC5" w:rsidRPr="008C3C5A">
        <w:rPr>
          <w:szCs w:val="22"/>
          <w:u w:val="single"/>
          <w:lang w:val="es-ES"/>
        </w:rPr>
        <w:t>, un punto y “xxx”</w:t>
      </w:r>
      <w:r w:rsidR="00817CC5" w:rsidRPr="008C3C5A">
        <w:rPr>
          <w:szCs w:val="22"/>
          <w:lang w:val="es-ES"/>
        </w:rPr>
        <w:t>. La letra se asigna conforme a las categorías. Los códigos de las incidencias detalladas figuran en el Anexo I</w:t>
      </w:r>
      <w:r w:rsidR="00817CC5" w:rsidRPr="008C3C5A">
        <w:rPr>
          <w:szCs w:val="22"/>
          <w:u w:val="single"/>
          <w:lang w:val="es-ES"/>
        </w:rPr>
        <w:t xml:space="preserve"> Los tres caracteres adicionales después del punto se reservan para su posible uso en el futuro</w:t>
      </w:r>
      <w:r w:rsidR="00701FBF" w:rsidRPr="008C3C5A">
        <w:rPr>
          <w:szCs w:val="22"/>
          <w:u w:val="single"/>
          <w:lang w:val="es-ES"/>
        </w:rPr>
        <w:t>.</w:t>
      </w:r>
      <w:r w:rsidR="00817CC5" w:rsidRPr="008C3C5A">
        <w:rPr>
          <w:szCs w:val="22"/>
          <w:u w:val="single"/>
          <w:lang w:val="es-ES"/>
        </w:rPr>
        <w:t xml:space="preserve"> </w:t>
      </w:r>
    </w:p>
    <w:p w14:paraId="65D20B72" w14:textId="77777777" w:rsidR="00817CC5" w:rsidRDefault="00817CC5" w:rsidP="00CE5AE3">
      <w:pPr>
        <w:pStyle w:val="ListParagraph"/>
        <w:spacing w:after="200"/>
        <w:ind w:left="562"/>
        <w:contextualSpacing w:val="0"/>
        <w:jc w:val="both"/>
        <w:rPr>
          <w:szCs w:val="22"/>
          <w:u w:val="single"/>
          <w:lang w:val="es-ES"/>
        </w:rPr>
      </w:pPr>
    </w:p>
    <w:p w14:paraId="7520C430" w14:textId="6CC90795" w:rsidR="001322CF" w:rsidRPr="000C0F01" w:rsidRDefault="00CE4D3C" w:rsidP="000C0F01">
      <w:pPr>
        <w:pStyle w:val="ListParagraph"/>
        <w:numPr>
          <w:ilvl w:val="0"/>
          <w:numId w:val="21"/>
        </w:numPr>
        <w:spacing w:after="200"/>
        <w:ind w:left="567" w:hanging="567"/>
        <w:rPr>
          <w:szCs w:val="22"/>
          <w:lang w:val="es-ES"/>
        </w:rPr>
      </w:pPr>
      <w:r w:rsidRPr="000C0F01">
        <w:rPr>
          <w:szCs w:val="22"/>
          <w:lang w:val="es-ES_tradnl"/>
        </w:rPr>
        <w:t>El texto actual de la nota e</w:t>
      </w:r>
      <w:r w:rsidR="006A7D77" w:rsidRPr="000C0F01">
        <w:rPr>
          <w:szCs w:val="22"/>
          <w:lang w:val="es-ES_tradnl"/>
        </w:rPr>
        <w:t>ditorial se sustituirá por el texto</w:t>
      </w:r>
      <w:r w:rsidR="001B083C" w:rsidRPr="000C0F01">
        <w:rPr>
          <w:szCs w:val="22"/>
          <w:lang w:val="es-ES_tradnl"/>
        </w:rPr>
        <w:t xml:space="preserve"> siguiente</w:t>
      </w:r>
      <w:r w:rsidR="006A7D77" w:rsidRPr="000C0F01">
        <w:rPr>
          <w:szCs w:val="22"/>
          <w:lang w:val="es-ES_tradnl"/>
        </w:rPr>
        <w:t>:</w:t>
      </w:r>
    </w:p>
    <w:p w14:paraId="54B9101E" w14:textId="1E3E3434" w:rsidR="001322CF" w:rsidRDefault="006A7D77" w:rsidP="006A7D77">
      <w:pPr>
        <w:keepNext/>
        <w:spacing w:before="240" w:after="340"/>
        <w:ind w:left="562"/>
        <w:jc w:val="center"/>
        <w:rPr>
          <w:rFonts w:eastAsia="Times New Roman"/>
          <w:i/>
          <w:szCs w:val="22"/>
          <w:u w:val="single"/>
          <w:lang w:val="es-ES" w:eastAsia="en-US"/>
        </w:rPr>
      </w:pPr>
      <w:r w:rsidRPr="006A7D77">
        <w:rPr>
          <w:rFonts w:eastAsia="Times New Roman"/>
          <w:i/>
          <w:szCs w:val="22"/>
          <w:lang w:val="es-ES_tradnl" w:eastAsia="en-US"/>
        </w:rPr>
        <w:t>Nota editorial de la Oficina Internacional</w:t>
      </w:r>
    </w:p>
    <w:p w14:paraId="7D991E9D" w14:textId="27B5F396" w:rsidR="00A54719" w:rsidRDefault="00A54719" w:rsidP="00883E39">
      <w:pPr>
        <w:spacing w:after="120"/>
        <w:ind w:left="567"/>
        <w:rPr>
          <w:rFonts w:eastAsia="Times New Roman"/>
          <w:i/>
          <w:szCs w:val="22"/>
          <w:lang w:val="es-ES" w:eastAsia="en-US"/>
        </w:rPr>
      </w:pPr>
      <w:r>
        <w:rPr>
          <w:rFonts w:eastAsia="Times New Roman"/>
          <w:i/>
          <w:szCs w:val="22"/>
          <w:lang w:val="es-ES" w:eastAsia="en-US"/>
        </w:rPr>
        <w:t>Las OP</w:t>
      </w:r>
      <w:r w:rsidR="00157BFF" w:rsidRPr="00440746">
        <w:rPr>
          <w:rFonts w:eastAsia="Times New Roman"/>
          <w:i/>
          <w:szCs w:val="22"/>
          <w:lang w:val="es-ES" w:eastAsia="en-US"/>
        </w:rPr>
        <w:t>I</w:t>
      </w:r>
      <w:r>
        <w:rPr>
          <w:rFonts w:eastAsia="Times New Roman"/>
          <w:i/>
          <w:szCs w:val="22"/>
          <w:lang w:val="es-ES" w:eastAsia="en-US"/>
        </w:rPr>
        <w:t xml:space="preserve"> podrán comenzar a aplicar la Norma ST.27 para intercambiar datos sobre la situación jurídica. El Equipo Técnico de la Situación Jurídica seguirá revisando los títulos y descripciones de las categorías e incidencias, según sea necesario, mientras las OPI continúan mejorando sus correspondencias.</w:t>
      </w:r>
    </w:p>
    <w:p w14:paraId="223AE0B7" w14:textId="6D1CA5A4" w:rsidR="001322CF" w:rsidRDefault="00A54719" w:rsidP="00883E39">
      <w:pPr>
        <w:spacing w:after="220"/>
        <w:ind w:left="562"/>
        <w:rPr>
          <w:rFonts w:eastAsia="Times New Roman"/>
          <w:i/>
          <w:szCs w:val="22"/>
          <w:lang w:val="es-ES" w:eastAsia="en-US"/>
        </w:rPr>
      </w:pPr>
      <w:r>
        <w:rPr>
          <w:rFonts w:eastAsia="Times New Roman"/>
          <w:i/>
          <w:szCs w:val="22"/>
          <w:lang w:val="es-ES" w:eastAsia="en-US"/>
        </w:rPr>
        <w:t>El CWS ha aprobado que se reserven tres caracteres adicionales en el código de incidencia relativa a la situación para cada incidencia. Esos caracteres reservados son útiles para la labor futura sobre la norma y quedan reservados de modo que las Oficinas puedan aplicar la norma existente con seguridad. El Equipo Técnico de la Situación Jurídica seguirá estudiando propuestas para utilizar los caracteres reservados después de la séptima sesión del CWS e informará de las propuestas acordadas en la octava sesión del CWS. Si el Equipo Técnico no llega a un acuerdo sobre ninguna propuesta, los caracteres reservados seguirán sin ser utilizados, pero se conservarán para poder utilizarlos en el futuro.</w:t>
      </w:r>
    </w:p>
    <w:p w14:paraId="64EA4C52" w14:textId="22A05287" w:rsidR="001322CF" w:rsidRDefault="006A7D77" w:rsidP="00883E39">
      <w:pPr>
        <w:pStyle w:val="ONUME"/>
        <w:tabs>
          <w:tab w:val="clear" w:pos="567"/>
          <w:tab w:val="num" w:pos="6663"/>
        </w:tabs>
        <w:ind w:left="5533"/>
        <w:rPr>
          <w:i/>
          <w:szCs w:val="22"/>
          <w:lang w:val="es-ES"/>
        </w:rPr>
      </w:pPr>
      <w:r w:rsidRPr="006A7D77">
        <w:rPr>
          <w:i/>
          <w:szCs w:val="22"/>
          <w:lang w:val="es-ES_tradnl"/>
        </w:rPr>
        <w:t xml:space="preserve">Se invita al CWS a: </w:t>
      </w:r>
    </w:p>
    <w:p w14:paraId="1B8F9260" w14:textId="0E63BD3F" w:rsidR="001322CF" w:rsidRDefault="006A7D77" w:rsidP="00883E39">
      <w:pPr>
        <w:pStyle w:val="BodyText"/>
        <w:numPr>
          <w:ilvl w:val="0"/>
          <w:numId w:val="19"/>
        </w:numPr>
        <w:tabs>
          <w:tab w:val="left" w:pos="6096"/>
          <w:tab w:val="left" w:pos="6663"/>
        </w:tabs>
        <w:ind w:left="5529" w:firstLine="567"/>
        <w:rPr>
          <w:i/>
          <w:szCs w:val="22"/>
          <w:lang w:val="es-ES"/>
        </w:rPr>
      </w:pPr>
      <w:r w:rsidRPr="006A7D77">
        <w:rPr>
          <w:i/>
          <w:szCs w:val="22"/>
          <w:lang w:val="es-ES_tradnl"/>
        </w:rPr>
        <w:t>tomar nota del contenido del presente documento;</w:t>
      </w:r>
    </w:p>
    <w:p w14:paraId="0A40084B" w14:textId="21E31B61" w:rsidR="001322CF" w:rsidRDefault="006A7D77" w:rsidP="00883E39">
      <w:pPr>
        <w:pStyle w:val="BodyText"/>
        <w:numPr>
          <w:ilvl w:val="0"/>
          <w:numId w:val="19"/>
        </w:numPr>
        <w:tabs>
          <w:tab w:val="left" w:pos="6096"/>
          <w:tab w:val="left" w:pos="6663"/>
        </w:tabs>
        <w:ind w:left="5529" w:firstLine="567"/>
        <w:rPr>
          <w:i/>
          <w:szCs w:val="22"/>
          <w:lang w:val="es-ES"/>
        </w:rPr>
      </w:pPr>
      <w:r w:rsidRPr="006A7D77">
        <w:rPr>
          <w:i/>
          <w:szCs w:val="22"/>
          <w:lang w:val="es-ES_tradnl"/>
        </w:rPr>
        <w:t xml:space="preserve">examinar y aprobar la propuesta de revisión del cuerpo principal de la Norma ST.27 de la OMPI, </w:t>
      </w:r>
      <w:r w:rsidR="00B97545">
        <w:rPr>
          <w:i/>
          <w:szCs w:val="22"/>
          <w:lang w:val="es-ES_tradnl"/>
        </w:rPr>
        <w:t>según se indica</w:t>
      </w:r>
      <w:r w:rsidRPr="006A7D77">
        <w:rPr>
          <w:i/>
          <w:szCs w:val="22"/>
          <w:lang w:val="es-ES_tradnl"/>
        </w:rPr>
        <w:t xml:space="preserve"> en el párrafo 24;</w:t>
      </w:r>
    </w:p>
    <w:p w14:paraId="4A52C6C2" w14:textId="6F2AC3FD" w:rsidR="001322CF" w:rsidRDefault="006A7D77" w:rsidP="00883E39">
      <w:pPr>
        <w:pStyle w:val="BodyText"/>
        <w:numPr>
          <w:ilvl w:val="0"/>
          <w:numId w:val="19"/>
        </w:numPr>
        <w:tabs>
          <w:tab w:val="left" w:pos="6096"/>
          <w:tab w:val="left" w:pos="6663"/>
        </w:tabs>
        <w:ind w:left="5529" w:firstLine="567"/>
        <w:rPr>
          <w:i/>
          <w:szCs w:val="22"/>
          <w:lang w:val="es-ES"/>
        </w:rPr>
      </w:pPr>
      <w:r w:rsidRPr="006A7D77">
        <w:rPr>
          <w:i/>
          <w:szCs w:val="22"/>
          <w:lang w:val="es-ES_tradnl"/>
        </w:rPr>
        <w:t xml:space="preserve">examinar y aprobar la propuesta </w:t>
      </w:r>
      <w:r w:rsidR="00A54719">
        <w:rPr>
          <w:i/>
          <w:szCs w:val="22"/>
          <w:lang w:val="es-ES_tradnl"/>
        </w:rPr>
        <w:t xml:space="preserve">de revisión </w:t>
      </w:r>
      <w:r w:rsidRPr="006A7D77">
        <w:rPr>
          <w:i/>
          <w:szCs w:val="22"/>
          <w:lang w:val="es-ES_tradnl"/>
        </w:rPr>
        <w:t xml:space="preserve">del Anexo I, con las actualizaciones correspondientes del Anexo II de la Norma ST.27 de la OMPI, </w:t>
      </w:r>
      <w:r w:rsidR="00B97545">
        <w:rPr>
          <w:i/>
          <w:szCs w:val="22"/>
          <w:lang w:val="es-ES_tradnl"/>
        </w:rPr>
        <w:t>según</w:t>
      </w:r>
      <w:r w:rsidRPr="006A7D77">
        <w:rPr>
          <w:i/>
          <w:szCs w:val="22"/>
          <w:lang w:val="es-ES_tradnl"/>
        </w:rPr>
        <w:t xml:space="preserve"> se indica en los párrafos 4 a 8;</w:t>
      </w:r>
    </w:p>
    <w:p w14:paraId="64BD9921" w14:textId="6001E7DF" w:rsidR="001322CF" w:rsidRDefault="00B97545" w:rsidP="00883E39">
      <w:pPr>
        <w:pStyle w:val="BodyText"/>
        <w:numPr>
          <w:ilvl w:val="0"/>
          <w:numId w:val="19"/>
        </w:numPr>
        <w:tabs>
          <w:tab w:val="left" w:pos="6096"/>
          <w:tab w:val="left" w:pos="6663"/>
        </w:tabs>
        <w:ind w:left="5529" w:firstLine="567"/>
        <w:rPr>
          <w:i/>
          <w:szCs w:val="22"/>
          <w:lang w:val="es-ES"/>
        </w:rPr>
      </w:pPr>
      <w:r>
        <w:rPr>
          <w:i/>
          <w:szCs w:val="22"/>
          <w:lang w:val="es-ES_tradnl"/>
        </w:rPr>
        <w:t>examinar y aprobar el nuevo D</w:t>
      </w:r>
      <w:r w:rsidR="00A54719">
        <w:rPr>
          <w:i/>
          <w:szCs w:val="22"/>
          <w:lang w:val="es-ES_tradnl"/>
        </w:rPr>
        <w:t>ocumento de orientación sobre lo</w:t>
      </w:r>
      <w:r w:rsidR="006A7D77" w:rsidRPr="006A7D77">
        <w:rPr>
          <w:i/>
          <w:szCs w:val="22"/>
          <w:lang w:val="es-ES_tradnl"/>
        </w:rPr>
        <w:t xml:space="preserve">s </w:t>
      </w:r>
      <w:r w:rsidR="00A54719">
        <w:rPr>
          <w:i/>
          <w:szCs w:val="22"/>
          <w:lang w:val="es-ES_tradnl"/>
        </w:rPr>
        <w:t>casos frecuentes</w:t>
      </w:r>
      <w:r w:rsidR="006A7D77" w:rsidRPr="006A7D77">
        <w:rPr>
          <w:i/>
          <w:szCs w:val="22"/>
          <w:lang w:val="es-ES_tradnl"/>
        </w:rPr>
        <w:t xml:space="preserve"> propuesto como Anexo V de la Norma ST.27 de la OMPI, </w:t>
      </w:r>
      <w:r>
        <w:rPr>
          <w:i/>
          <w:szCs w:val="22"/>
          <w:lang w:val="es-ES_tradnl"/>
        </w:rPr>
        <w:t xml:space="preserve">según se indica en </w:t>
      </w:r>
      <w:r w:rsidR="006A7D77" w:rsidRPr="006A7D77">
        <w:rPr>
          <w:i/>
          <w:szCs w:val="22"/>
          <w:lang w:val="es-ES_tradnl"/>
        </w:rPr>
        <w:t>los párrafos 10 a 12</w:t>
      </w:r>
      <w:r>
        <w:rPr>
          <w:i/>
          <w:szCs w:val="22"/>
          <w:lang w:val="es-ES_tradnl"/>
        </w:rPr>
        <w:t>,</w:t>
      </w:r>
      <w:r w:rsidR="006A7D77" w:rsidRPr="006A7D77">
        <w:rPr>
          <w:i/>
          <w:szCs w:val="22"/>
          <w:lang w:val="es-ES_tradnl"/>
        </w:rPr>
        <w:t xml:space="preserve"> que se reproduce en el Anexo</w:t>
      </w:r>
      <w:r w:rsidR="00B306C2">
        <w:rPr>
          <w:i/>
          <w:szCs w:val="22"/>
          <w:lang w:val="es-ES_tradnl"/>
        </w:rPr>
        <w:t> </w:t>
      </w:r>
      <w:r w:rsidR="006A7D77" w:rsidRPr="006A7D77">
        <w:rPr>
          <w:i/>
          <w:szCs w:val="22"/>
          <w:lang w:val="es-ES_tradnl"/>
        </w:rPr>
        <w:t xml:space="preserve">I del presente documento, y cambiar el actual Anexo V </w:t>
      </w:r>
      <w:r w:rsidR="00B306C2">
        <w:rPr>
          <w:i/>
          <w:szCs w:val="22"/>
          <w:lang w:val="es-ES_tradnl"/>
        </w:rPr>
        <w:t>a</w:t>
      </w:r>
      <w:r w:rsidR="006A7D77" w:rsidRPr="006A7D77">
        <w:rPr>
          <w:i/>
          <w:szCs w:val="22"/>
          <w:lang w:val="es-ES_tradnl"/>
        </w:rPr>
        <w:t xml:space="preserve">l Anexo VI </w:t>
      </w:r>
      <w:r w:rsidR="00B306C2">
        <w:rPr>
          <w:i/>
          <w:szCs w:val="22"/>
          <w:lang w:val="es-ES_tradnl"/>
        </w:rPr>
        <w:t>con el título</w:t>
      </w:r>
      <w:r w:rsidR="006A7D77" w:rsidRPr="006A7D77">
        <w:rPr>
          <w:i/>
          <w:szCs w:val="22"/>
          <w:lang w:val="es-ES_tradnl"/>
        </w:rPr>
        <w:t xml:space="preserve"> Documento de orientación basado </w:t>
      </w:r>
      <w:r w:rsidR="00B306C2">
        <w:rPr>
          <w:i/>
          <w:szCs w:val="22"/>
          <w:lang w:val="es-ES_tradnl"/>
        </w:rPr>
        <w:t>en</w:t>
      </w:r>
      <w:r w:rsidR="006A7D77" w:rsidRPr="006A7D77">
        <w:rPr>
          <w:i/>
          <w:szCs w:val="22"/>
          <w:lang w:val="es-ES_tradnl"/>
        </w:rPr>
        <w:t xml:space="preserve"> categoría</w:t>
      </w:r>
      <w:r>
        <w:rPr>
          <w:i/>
          <w:szCs w:val="22"/>
          <w:lang w:val="es-ES_tradnl"/>
        </w:rPr>
        <w:t>s</w:t>
      </w:r>
      <w:r w:rsidR="006A7D77" w:rsidRPr="006A7D77">
        <w:rPr>
          <w:i/>
          <w:szCs w:val="22"/>
          <w:lang w:val="es-ES_tradnl"/>
        </w:rPr>
        <w:t>; y</w:t>
      </w:r>
    </w:p>
    <w:p w14:paraId="50D09D15" w14:textId="7C7F1FF5" w:rsidR="001322CF" w:rsidRDefault="006A7D77" w:rsidP="008C3C5A">
      <w:pPr>
        <w:pStyle w:val="BodyText"/>
        <w:keepNext/>
        <w:keepLines/>
        <w:numPr>
          <w:ilvl w:val="0"/>
          <w:numId w:val="19"/>
        </w:numPr>
        <w:tabs>
          <w:tab w:val="left" w:pos="6096"/>
          <w:tab w:val="left" w:pos="6663"/>
        </w:tabs>
        <w:spacing w:after="0"/>
        <w:ind w:left="5529" w:firstLine="567"/>
        <w:rPr>
          <w:i/>
          <w:szCs w:val="22"/>
          <w:lang w:val="es-ES"/>
        </w:rPr>
      </w:pPr>
      <w:r w:rsidRPr="006A7D77">
        <w:rPr>
          <w:i/>
          <w:szCs w:val="22"/>
          <w:lang w:val="es-ES_tradnl"/>
        </w:rPr>
        <w:t>formular comentarios sobre posibles usos del campo reservado o de las 15 etiquetas de procedimie</w:t>
      </w:r>
      <w:r w:rsidR="00CE398F">
        <w:rPr>
          <w:i/>
          <w:szCs w:val="22"/>
          <w:lang w:val="es-ES_tradnl"/>
        </w:rPr>
        <w:t>nto propuesto</w:t>
      </w:r>
      <w:r w:rsidRPr="006A7D77">
        <w:rPr>
          <w:i/>
          <w:szCs w:val="22"/>
          <w:lang w:val="es-ES_tradnl"/>
        </w:rPr>
        <w:t xml:space="preserve">s por la Oficina Internacional, </w:t>
      </w:r>
      <w:r w:rsidR="00B97545">
        <w:rPr>
          <w:i/>
          <w:szCs w:val="22"/>
          <w:lang w:val="es-ES_tradnl"/>
        </w:rPr>
        <w:t>según</w:t>
      </w:r>
      <w:r w:rsidRPr="006A7D77">
        <w:rPr>
          <w:i/>
          <w:szCs w:val="22"/>
          <w:lang w:val="es-ES_tradnl"/>
        </w:rPr>
        <w:t xml:space="preserve"> se indica en los párrafos 15 a 18 y 23 a 24.</w:t>
      </w:r>
    </w:p>
    <w:p w14:paraId="6E26FDAD" w14:textId="77777777" w:rsidR="001322CF" w:rsidRDefault="001322CF" w:rsidP="00711378">
      <w:pPr>
        <w:pStyle w:val="BodyText"/>
        <w:tabs>
          <w:tab w:val="left" w:pos="6050"/>
          <w:tab w:val="left" w:pos="6600"/>
        </w:tabs>
        <w:spacing w:after="0"/>
        <w:ind w:left="5947"/>
        <w:rPr>
          <w:szCs w:val="22"/>
          <w:lang w:val="es-ES"/>
        </w:rPr>
      </w:pPr>
    </w:p>
    <w:p w14:paraId="68DEC7E3" w14:textId="77777777" w:rsidR="001322CF" w:rsidRDefault="001322CF" w:rsidP="00711378">
      <w:pPr>
        <w:pStyle w:val="BodyText"/>
        <w:tabs>
          <w:tab w:val="left" w:pos="6050"/>
          <w:tab w:val="left" w:pos="6600"/>
        </w:tabs>
        <w:spacing w:after="0"/>
        <w:ind w:left="5947"/>
        <w:rPr>
          <w:szCs w:val="22"/>
          <w:lang w:val="es-ES"/>
        </w:rPr>
      </w:pPr>
    </w:p>
    <w:p w14:paraId="45A73AFD" w14:textId="2EF01E74" w:rsidR="001322CF" w:rsidRDefault="006A7D77" w:rsidP="00883E39">
      <w:pPr>
        <w:pStyle w:val="Endofdocument-Annex"/>
        <w:ind w:left="5400" w:hanging="13"/>
        <w:rPr>
          <w:szCs w:val="22"/>
          <w:lang w:val="es-ES"/>
        </w:rPr>
      </w:pPr>
      <w:r w:rsidRPr="006A7D77">
        <w:rPr>
          <w:szCs w:val="22"/>
          <w:lang w:val="es-ES_tradnl"/>
        </w:rPr>
        <w:t>[Sigue el Anex</w:t>
      </w:r>
      <w:r w:rsidR="00B97545">
        <w:rPr>
          <w:szCs w:val="22"/>
          <w:lang w:val="es-ES_tradnl"/>
        </w:rPr>
        <w:t>o I (Anexo V de la Norma ST.27)]</w:t>
      </w:r>
    </w:p>
    <w:p w14:paraId="39E16551" w14:textId="6D8F1B3D" w:rsidR="00FC7AE8" w:rsidRPr="00440746" w:rsidRDefault="00FC7AE8" w:rsidP="00711378">
      <w:pPr>
        <w:pStyle w:val="Endofdocument-Annex"/>
        <w:ind w:left="5400" w:firstLine="136"/>
        <w:rPr>
          <w:szCs w:val="22"/>
          <w:lang w:val="es-ES"/>
        </w:rPr>
      </w:pPr>
    </w:p>
    <w:sectPr w:rsidR="00FC7AE8" w:rsidRPr="00440746" w:rsidSect="005E46F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81DAD" w14:textId="77777777" w:rsidR="007B33D4" w:rsidRDefault="007B33D4">
      <w:r>
        <w:separator/>
      </w:r>
    </w:p>
  </w:endnote>
  <w:endnote w:type="continuationSeparator" w:id="0">
    <w:p w14:paraId="66D5E9C8" w14:textId="77777777" w:rsidR="007B33D4" w:rsidRDefault="007B33D4" w:rsidP="003B38C1">
      <w:r>
        <w:separator/>
      </w:r>
    </w:p>
    <w:p w14:paraId="37768270" w14:textId="77777777" w:rsidR="007B33D4" w:rsidRPr="003B38C1" w:rsidRDefault="007B33D4" w:rsidP="003B38C1">
      <w:pPr>
        <w:spacing w:after="60"/>
        <w:rPr>
          <w:sz w:val="17"/>
        </w:rPr>
      </w:pPr>
      <w:r>
        <w:rPr>
          <w:sz w:val="17"/>
        </w:rPr>
        <w:t>[Endnote continued from previous page]</w:t>
      </w:r>
    </w:p>
  </w:endnote>
  <w:endnote w:type="continuationNotice" w:id="1">
    <w:p w14:paraId="5EFA86A0" w14:textId="77777777" w:rsidR="007B33D4" w:rsidRPr="003B38C1" w:rsidRDefault="007B33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CFCB3" w14:textId="77777777" w:rsidR="007B33D4" w:rsidRDefault="007B33D4">
      <w:r>
        <w:separator/>
      </w:r>
    </w:p>
  </w:footnote>
  <w:footnote w:type="continuationSeparator" w:id="0">
    <w:p w14:paraId="402A22A0" w14:textId="77777777" w:rsidR="007B33D4" w:rsidRDefault="007B33D4" w:rsidP="008B60B2">
      <w:r>
        <w:separator/>
      </w:r>
    </w:p>
    <w:p w14:paraId="2B7F2859" w14:textId="77777777" w:rsidR="007B33D4" w:rsidRPr="00ED77FB" w:rsidRDefault="007B33D4" w:rsidP="008B60B2">
      <w:pPr>
        <w:spacing w:after="60"/>
        <w:rPr>
          <w:sz w:val="17"/>
          <w:szCs w:val="17"/>
        </w:rPr>
      </w:pPr>
      <w:r w:rsidRPr="00ED77FB">
        <w:rPr>
          <w:sz w:val="17"/>
          <w:szCs w:val="17"/>
        </w:rPr>
        <w:t>[Footnote continued from previous page]</w:t>
      </w:r>
    </w:p>
  </w:footnote>
  <w:footnote w:type="continuationNotice" w:id="1">
    <w:p w14:paraId="3146F902" w14:textId="77777777" w:rsidR="007B33D4" w:rsidRPr="00ED77FB" w:rsidRDefault="007B33D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CA41" w14:textId="49A75978" w:rsidR="007B33D4" w:rsidRPr="00A54719" w:rsidRDefault="007B33D4" w:rsidP="00477D6B">
    <w:pPr>
      <w:jc w:val="right"/>
      <w:rPr>
        <w:lang w:val="es-ES"/>
      </w:rPr>
    </w:pPr>
    <w:bookmarkStart w:id="8" w:name="Code2"/>
    <w:bookmarkEnd w:id="8"/>
    <w:r w:rsidRPr="00A54719">
      <w:rPr>
        <w:lang w:val="es-ES"/>
      </w:rPr>
      <w:t>CWS/7/12</w:t>
    </w:r>
  </w:p>
  <w:p w14:paraId="776E01EB" w14:textId="7C96BB03" w:rsidR="007B33D4" w:rsidRPr="00A54719" w:rsidRDefault="007B33D4" w:rsidP="00477D6B">
    <w:pPr>
      <w:jc w:val="right"/>
      <w:rPr>
        <w:lang w:val="es-ES"/>
      </w:rPr>
    </w:pPr>
    <w:r w:rsidRPr="00A54719">
      <w:rPr>
        <w:lang w:val="es-ES"/>
      </w:rPr>
      <w:t xml:space="preserve">página </w:t>
    </w:r>
    <w:r w:rsidRPr="00A54719">
      <w:rPr>
        <w:lang w:val="es-ES"/>
      </w:rPr>
      <w:fldChar w:fldCharType="begin"/>
    </w:r>
    <w:r w:rsidRPr="00A54719">
      <w:rPr>
        <w:lang w:val="es-ES"/>
      </w:rPr>
      <w:instrText xml:space="preserve"> PAGE  \* MERGEFORMAT </w:instrText>
    </w:r>
    <w:r w:rsidRPr="00A54719">
      <w:rPr>
        <w:lang w:val="es-ES"/>
      </w:rPr>
      <w:fldChar w:fldCharType="separate"/>
    </w:r>
    <w:r w:rsidR="00FB193E">
      <w:rPr>
        <w:noProof/>
        <w:lang w:val="es-ES"/>
      </w:rPr>
      <w:t>7</w:t>
    </w:r>
    <w:r w:rsidRPr="00A54719">
      <w:rPr>
        <w:lang w:val="es-ES"/>
      </w:rPr>
      <w:fldChar w:fldCharType="end"/>
    </w:r>
  </w:p>
  <w:p w14:paraId="524C7A33" w14:textId="77777777" w:rsidR="007B33D4" w:rsidRPr="00A54719" w:rsidRDefault="007B33D4" w:rsidP="00477D6B">
    <w:pPr>
      <w:jc w:val="right"/>
      <w:rPr>
        <w:lang w:val="es-ES"/>
      </w:rPr>
    </w:pPr>
  </w:p>
  <w:p w14:paraId="5AF8CAAC" w14:textId="77777777" w:rsidR="007B33D4" w:rsidRPr="00A54719" w:rsidRDefault="007B33D4"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D01D00"/>
    <w:multiLevelType w:val="hybridMultilevel"/>
    <w:tmpl w:val="28048020"/>
    <w:lvl w:ilvl="0" w:tplc="E1D8A5F4">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5F2DA3"/>
    <w:multiLevelType w:val="hybridMultilevel"/>
    <w:tmpl w:val="82846ECE"/>
    <w:lvl w:ilvl="0" w:tplc="A48299B6">
      <w:start w:val="1"/>
      <w:numFmt w:val="lowerLetter"/>
      <w:lvlText w:val="%1)"/>
      <w:lvlJc w:val="left"/>
      <w:pPr>
        <w:ind w:left="6595" w:hanging="510"/>
      </w:pPr>
      <w:rPr>
        <w:rFonts w:hint="default"/>
      </w:rPr>
    </w:lvl>
    <w:lvl w:ilvl="1" w:tplc="0C0A0019" w:tentative="1">
      <w:start w:val="1"/>
      <w:numFmt w:val="lowerLetter"/>
      <w:lvlText w:val="%2."/>
      <w:lvlJc w:val="left"/>
      <w:pPr>
        <w:ind w:left="7165" w:hanging="360"/>
      </w:pPr>
    </w:lvl>
    <w:lvl w:ilvl="2" w:tplc="0C0A001B" w:tentative="1">
      <w:start w:val="1"/>
      <w:numFmt w:val="lowerRoman"/>
      <w:lvlText w:val="%3."/>
      <w:lvlJc w:val="right"/>
      <w:pPr>
        <w:ind w:left="7885" w:hanging="180"/>
      </w:pPr>
    </w:lvl>
    <w:lvl w:ilvl="3" w:tplc="0C0A000F" w:tentative="1">
      <w:start w:val="1"/>
      <w:numFmt w:val="decimal"/>
      <w:lvlText w:val="%4."/>
      <w:lvlJc w:val="left"/>
      <w:pPr>
        <w:ind w:left="8605" w:hanging="360"/>
      </w:pPr>
    </w:lvl>
    <w:lvl w:ilvl="4" w:tplc="0C0A0019" w:tentative="1">
      <w:start w:val="1"/>
      <w:numFmt w:val="lowerLetter"/>
      <w:lvlText w:val="%5."/>
      <w:lvlJc w:val="left"/>
      <w:pPr>
        <w:ind w:left="9325" w:hanging="360"/>
      </w:pPr>
    </w:lvl>
    <w:lvl w:ilvl="5" w:tplc="0C0A001B" w:tentative="1">
      <w:start w:val="1"/>
      <w:numFmt w:val="lowerRoman"/>
      <w:lvlText w:val="%6."/>
      <w:lvlJc w:val="right"/>
      <w:pPr>
        <w:ind w:left="10045" w:hanging="180"/>
      </w:pPr>
    </w:lvl>
    <w:lvl w:ilvl="6" w:tplc="0C0A000F" w:tentative="1">
      <w:start w:val="1"/>
      <w:numFmt w:val="decimal"/>
      <w:lvlText w:val="%7."/>
      <w:lvlJc w:val="left"/>
      <w:pPr>
        <w:ind w:left="10765" w:hanging="360"/>
      </w:pPr>
    </w:lvl>
    <w:lvl w:ilvl="7" w:tplc="0C0A0019" w:tentative="1">
      <w:start w:val="1"/>
      <w:numFmt w:val="lowerLetter"/>
      <w:lvlText w:val="%8."/>
      <w:lvlJc w:val="left"/>
      <w:pPr>
        <w:ind w:left="11485" w:hanging="360"/>
      </w:pPr>
    </w:lvl>
    <w:lvl w:ilvl="8" w:tplc="0C0A001B" w:tentative="1">
      <w:start w:val="1"/>
      <w:numFmt w:val="lowerRoman"/>
      <w:lvlText w:val="%9."/>
      <w:lvlJc w:val="right"/>
      <w:pPr>
        <w:ind w:left="12205" w:hanging="180"/>
      </w:pPr>
    </w:lvl>
  </w:abstractNum>
  <w:abstractNum w:abstractNumId="6" w15:restartNumberingAfterBreak="0">
    <w:nsid w:val="2C322BDA"/>
    <w:multiLevelType w:val="hybridMultilevel"/>
    <w:tmpl w:val="D05AB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C20E5"/>
    <w:multiLevelType w:val="hybridMultilevel"/>
    <w:tmpl w:val="5332098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54D078B"/>
    <w:multiLevelType w:val="hybridMultilevel"/>
    <w:tmpl w:val="214E3802"/>
    <w:lvl w:ilvl="0" w:tplc="EFEE368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38C260C"/>
    <w:multiLevelType w:val="hybridMultilevel"/>
    <w:tmpl w:val="8848D6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3446E1"/>
    <w:multiLevelType w:val="hybridMultilevel"/>
    <w:tmpl w:val="E824404E"/>
    <w:lvl w:ilvl="0" w:tplc="452AD052">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BA14D4"/>
    <w:multiLevelType w:val="hybridMultilevel"/>
    <w:tmpl w:val="5E3EED52"/>
    <w:lvl w:ilvl="0" w:tplc="3E1C4C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2771E"/>
    <w:multiLevelType w:val="hybridMultilevel"/>
    <w:tmpl w:val="724C48DE"/>
    <w:lvl w:ilvl="0" w:tplc="74F68DEE">
      <w:start w:val="1"/>
      <w:numFmt w:val="lowerLetter"/>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78694A"/>
    <w:multiLevelType w:val="hybridMultilevel"/>
    <w:tmpl w:val="394EC798"/>
    <w:lvl w:ilvl="0" w:tplc="3E1C4C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D0C43"/>
    <w:multiLevelType w:val="hybridMultilevel"/>
    <w:tmpl w:val="1424EC9C"/>
    <w:lvl w:ilvl="0" w:tplc="78E8C7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503E52"/>
    <w:multiLevelType w:val="hybridMultilevel"/>
    <w:tmpl w:val="4336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D780D"/>
    <w:multiLevelType w:val="hybridMultilevel"/>
    <w:tmpl w:val="2CF62F3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A02B9"/>
    <w:multiLevelType w:val="hybridMultilevel"/>
    <w:tmpl w:val="1F2E8A3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E656E"/>
    <w:multiLevelType w:val="hybridMultilevel"/>
    <w:tmpl w:val="E41A4A00"/>
    <w:lvl w:ilvl="0" w:tplc="EFEE36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0"/>
  </w:num>
  <w:num w:numId="4">
    <w:abstractNumId w:val="12"/>
  </w:num>
  <w:num w:numId="5">
    <w:abstractNumId w:val="2"/>
  </w:num>
  <w:num w:numId="6">
    <w:abstractNumId w:val="4"/>
  </w:num>
  <w:num w:numId="7">
    <w:abstractNumId w:val="18"/>
  </w:num>
  <w:num w:numId="8">
    <w:abstractNumId w:val="13"/>
  </w:num>
  <w:num w:numId="9">
    <w:abstractNumId w:val="16"/>
  </w:num>
  <w:num w:numId="10">
    <w:abstractNumId w:val="15"/>
  </w:num>
  <w:num w:numId="11">
    <w:abstractNumId w:val="1"/>
  </w:num>
  <w:num w:numId="12">
    <w:abstractNumId w:val="17"/>
  </w:num>
  <w:num w:numId="13">
    <w:abstractNumId w:val="21"/>
  </w:num>
  <w:num w:numId="14">
    <w:abstractNumId w:val="11"/>
  </w:num>
  <w:num w:numId="15">
    <w:abstractNumId w:val="8"/>
  </w:num>
  <w:num w:numId="16">
    <w:abstractNumId w:val="6"/>
  </w:num>
  <w:num w:numId="17">
    <w:abstractNumId w:val="19"/>
  </w:num>
  <w:num w:numId="18">
    <w:abstractNumId w:val="20"/>
  </w:num>
  <w:num w:numId="19">
    <w:abstractNumId w:val="9"/>
  </w:num>
  <w:num w:numId="20">
    <w:abstractNumId w:val="5"/>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5E46FD"/>
    <w:rsid w:val="00007E96"/>
    <w:rsid w:val="00043CAA"/>
    <w:rsid w:val="00054321"/>
    <w:rsid w:val="00064EBA"/>
    <w:rsid w:val="00065CCC"/>
    <w:rsid w:val="00075432"/>
    <w:rsid w:val="000808C4"/>
    <w:rsid w:val="00084C62"/>
    <w:rsid w:val="000968ED"/>
    <w:rsid w:val="000C0F01"/>
    <w:rsid w:val="000C243C"/>
    <w:rsid w:val="000C46AD"/>
    <w:rsid w:val="000D08AE"/>
    <w:rsid w:val="000F5E56"/>
    <w:rsid w:val="00131569"/>
    <w:rsid w:val="001322CF"/>
    <w:rsid w:val="001362EE"/>
    <w:rsid w:val="001441CA"/>
    <w:rsid w:val="00146866"/>
    <w:rsid w:val="00147E49"/>
    <w:rsid w:val="00153DF0"/>
    <w:rsid w:val="001567B8"/>
    <w:rsid w:val="00157BFF"/>
    <w:rsid w:val="001633F7"/>
    <w:rsid w:val="001647D5"/>
    <w:rsid w:val="00175347"/>
    <w:rsid w:val="00176105"/>
    <w:rsid w:val="001832A6"/>
    <w:rsid w:val="00190076"/>
    <w:rsid w:val="00196B78"/>
    <w:rsid w:val="001A1042"/>
    <w:rsid w:val="001A2212"/>
    <w:rsid w:val="001B083C"/>
    <w:rsid w:val="001B19B6"/>
    <w:rsid w:val="001C4A9D"/>
    <w:rsid w:val="00205460"/>
    <w:rsid w:val="0021217E"/>
    <w:rsid w:val="00212DF1"/>
    <w:rsid w:val="00232049"/>
    <w:rsid w:val="00243651"/>
    <w:rsid w:val="002634C4"/>
    <w:rsid w:val="0027399F"/>
    <w:rsid w:val="002847CA"/>
    <w:rsid w:val="00285DA9"/>
    <w:rsid w:val="002928D3"/>
    <w:rsid w:val="002B3685"/>
    <w:rsid w:val="002B5A49"/>
    <w:rsid w:val="002C0E04"/>
    <w:rsid w:val="002C5E3D"/>
    <w:rsid w:val="002D14D4"/>
    <w:rsid w:val="002E049A"/>
    <w:rsid w:val="002F1FE6"/>
    <w:rsid w:val="002F4E68"/>
    <w:rsid w:val="00300EC6"/>
    <w:rsid w:val="00312F7F"/>
    <w:rsid w:val="00315B51"/>
    <w:rsid w:val="0031768F"/>
    <w:rsid w:val="00323DBC"/>
    <w:rsid w:val="00341E9D"/>
    <w:rsid w:val="00361450"/>
    <w:rsid w:val="003664C5"/>
    <w:rsid w:val="003673CF"/>
    <w:rsid w:val="00376D9A"/>
    <w:rsid w:val="003845C1"/>
    <w:rsid w:val="00392055"/>
    <w:rsid w:val="00395431"/>
    <w:rsid w:val="003A6F89"/>
    <w:rsid w:val="003A7994"/>
    <w:rsid w:val="003B38C1"/>
    <w:rsid w:val="003C026E"/>
    <w:rsid w:val="003D16B8"/>
    <w:rsid w:val="003D3EC1"/>
    <w:rsid w:val="003E4806"/>
    <w:rsid w:val="004207A9"/>
    <w:rsid w:val="00423916"/>
    <w:rsid w:val="00423E3E"/>
    <w:rsid w:val="00427AF4"/>
    <w:rsid w:val="004300DA"/>
    <w:rsid w:val="00430BAB"/>
    <w:rsid w:val="00432A30"/>
    <w:rsid w:val="0043609E"/>
    <w:rsid w:val="00440746"/>
    <w:rsid w:val="004441D6"/>
    <w:rsid w:val="004530DF"/>
    <w:rsid w:val="004647DA"/>
    <w:rsid w:val="00464958"/>
    <w:rsid w:val="00474062"/>
    <w:rsid w:val="00476E41"/>
    <w:rsid w:val="00477D6B"/>
    <w:rsid w:val="00481349"/>
    <w:rsid w:val="004842A5"/>
    <w:rsid w:val="004A511F"/>
    <w:rsid w:val="004B3029"/>
    <w:rsid w:val="004B61EE"/>
    <w:rsid w:val="004C3716"/>
    <w:rsid w:val="004C3D58"/>
    <w:rsid w:val="004D27EA"/>
    <w:rsid w:val="004E41DF"/>
    <w:rsid w:val="004E5F55"/>
    <w:rsid w:val="004F0BDC"/>
    <w:rsid w:val="004F585B"/>
    <w:rsid w:val="005019FF"/>
    <w:rsid w:val="00503131"/>
    <w:rsid w:val="00527B84"/>
    <w:rsid w:val="0053057A"/>
    <w:rsid w:val="00531F28"/>
    <w:rsid w:val="00533710"/>
    <w:rsid w:val="00550FEB"/>
    <w:rsid w:val="005522A3"/>
    <w:rsid w:val="00560A29"/>
    <w:rsid w:val="00566704"/>
    <w:rsid w:val="0059189B"/>
    <w:rsid w:val="00595D4C"/>
    <w:rsid w:val="00597290"/>
    <w:rsid w:val="005A428E"/>
    <w:rsid w:val="005A5FDA"/>
    <w:rsid w:val="005C6649"/>
    <w:rsid w:val="005E46FD"/>
    <w:rsid w:val="006043E9"/>
    <w:rsid w:val="00605827"/>
    <w:rsid w:val="0061735B"/>
    <w:rsid w:val="00636942"/>
    <w:rsid w:val="0064043D"/>
    <w:rsid w:val="00646050"/>
    <w:rsid w:val="00652E74"/>
    <w:rsid w:val="006576F4"/>
    <w:rsid w:val="00665811"/>
    <w:rsid w:val="006713CA"/>
    <w:rsid w:val="00672E1D"/>
    <w:rsid w:val="00676C5C"/>
    <w:rsid w:val="006834D5"/>
    <w:rsid w:val="006A7D77"/>
    <w:rsid w:val="006B7696"/>
    <w:rsid w:val="006B78EA"/>
    <w:rsid w:val="006C7377"/>
    <w:rsid w:val="006D6A06"/>
    <w:rsid w:val="006E6763"/>
    <w:rsid w:val="006E7AD3"/>
    <w:rsid w:val="006F11A0"/>
    <w:rsid w:val="006F2677"/>
    <w:rsid w:val="00701FBF"/>
    <w:rsid w:val="00711378"/>
    <w:rsid w:val="00711817"/>
    <w:rsid w:val="007457D3"/>
    <w:rsid w:val="00745F61"/>
    <w:rsid w:val="007653F6"/>
    <w:rsid w:val="0077256C"/>
    <w:rsid w:val="0077453A"/>
    <w:rsid w:val="00774C04"/>
    <w:rsid w:val="00791531"/>
    <w:rsid w:val="007B33D4"/>
    <w:rsid w:val="007C3EA1"/>
    <w:rsid w:val="007D0AD5"/>
    <w:rsid w:val="007D1613"/>
    <w:rsid w:val="007D7318"/>
    <w:rsid w:val="007E0FFD"/>
    <w:rsid w:val="007E1B1A"/>
    <w:rsid w:val="007E4C0E"/>
    <w:rsid w:val="00807C99"/>
    <w:rsid w:val="0081768A"/>
    <w:rsid w:val="00817CC5"/>
    <w:rsid w:val="008457F6"/>
    <w:rsid w:val="008544CB"/>
    <w:rsid w:val="008632CF"/>
    <w:rsid w:val="00874547"/>
    <w:rsid w:val="0088228E"/>
    <w:rsid w:val="00883E39"/>
    <w:rsid w:val="00894B06"/>
    <w:rsid w:val="008A134B"/>
    <w:rsid w:val="008B2CC1"/>
    <w:rsid w:val="008B60B2"/>
    <w:rsid w:val="008C0334"/>
    <w:rsid w:val="008C0ABC"/>
    <w:rsid w:val="008C3C5A"/>
    <w:rsid w:val="008C4543"/>
    <w:rsid w:val="008C7F85"/>
    <w:rsid w:val="008D13EC"/>
    <w:rsid w:val="008D21BB"/>
    <w:rsid w:val="0090731E"/>
    <w:rsid w:val="00911497"/>
    <w:rsid w:val="00913804"/>
    <w:rsid w:val="009159EC"/>
    <w:rsid w:val="00916EE2"/>
    <w:rsid w:val="00920795"/>
    <w:rsid w:val="009412BF"/>
    <w:rsid w:val="00966A22"/>
    <w:rsid w:val="0096722F"/>
    <w:rsid w:val="009773C4"/>
    <w:rsid w:val="009802F8"/>
    <w:rsid w:val="00980843"/>
    <w:rsid w:val="009846F6"/>
    <w:rsid w:val="009868E1"/>
    <w:rsid w:val="009A0DB4"/>
    <w:rsid w:val="009C7DB0"/>
    <w:rsid w:val="009D5791"/>
    <w:rsid w:val="009E2791"/>
    <w:rsid w:val="009E3F6F"/>
    <w:rsid w:val="009F20C3"/>
    <w:rsid w:val="009F499F"/>
    <w:rsid w:val="00A174A9"/>
    <w:rsid w:val="00A34459"/>
    <w:rsid w:val="00A37342"/>
    <w:rsid w:val="00A37584"/>
    <w:rsid w:val="00A42DAF"/>
    <w:rsid w:val="00A45BD8"/>
    <w:rsid w:val="00A54719"/>
    <w:rsid w:val="00A65674"/>
    <w:rsid w:val="00A7231A"/>
    <w:rsid w:val="00A73C60"/>
    <w:rsid w:val="00A7790F"/>
    <w:rsid w:val="00A84A61"/>
    <w:rsid w:val="00A853EC"/>
    <w:rsid w:val="00A869B7"/>
    <w:rsid w:val="00AA2D6D"/>
    <w:rsid w:val="00AA46DE"/>
    <w:rsid w:val="00AA65C5"/>
    <w:rsid w:val="00AB4632"/>
    <w:rsid w:val="00AC205C"/>
    <w:rsid w:val="00AD02A9"/>
    <w:rsid w:val="00AF0A6B"/>
    <w:rsid w:val="00B00D7A"/>
    <w:rsid w:val="00B05A69"/>
    <w:rsid w:val="00B22F16"/>
    <w:rsid w:val="00B25B08"/>
    <w:rsid w:val="00B306C2"/>
    <w:rsid w:val="00B42CD4"/>
    <w:rsid w:val="00B42F5D"/>
    <w:rsid w:val="00B44A2A"/>
    <w:rsid w:val="00B46864"/>
    <w:rsid w:val="00B61F54"/>
    <w:rsid w:val="00B659F7"/>
    <w:rsid w:val="00B7085B"/>
    <w:rsid w:val="00B73AED"/>
    <w:rsid w:val="00B85C18"/>
    <w:rsid w:val="00B95E19"/>
    <w:rsid w:val="00B9734B"/>
    <w:rsid w:val="00B97545"/>
    <w:rsid w:val="00BA30E2"/>
    <w:rsid w:val="00BA3727"/>
    <w:rsid w:val="00BB2279"/>
    <w:rsid w:val="00BE62C8"/>
    <w:rsid w:val="00C0065B"/>
    <w:rsid w:val="00C03A8F"/>
    <w:rsid w:val="00C051A1"/>
    <w:rsid w:val="00C06878"/>
    <w:rsid w:val="00C11BFE"/>
    <w:rsid w:val="00C1371B"/>
    <w:rsid w:val="00C32845"/>
    <w:rsid w:val="00C35501"/>
    <w:rsid w:val="00C5068F"/>
    <w:rsid w:val="00C5338D"/>
    <w:rsid w:val="00C76B32"/>
    <w:rsid w:val="00C86D74"/>
    <w:rsid w:val="00CA0137"/>
    <w:rsid w:val="00CB684D"/>
    <w:rsid w:val="00CB6D27"/>
    <w:rsid w:val="00CC26CC"/>
    <w:rsid w:val="00CC47C5"/>
    <w:rsid w:val="00CC5D46"/>
    <w:rsid w:val="00CC7716"/>
    <w:rsid w:val="00CD04F1"/>
    <w:rsid w:val="00CD57D0"/>
    <w:rsid w:val="00CD59F2"/>
    <w:rsid w:val="00CD7E53"/>
    <w:rsid w:val="00CE398F"/>
    <w:rsid w:val="00CE4D3C"/>
    <w:rsid w:val="00CE5AE3"/>
    <w:rsid w:val="00CE6774"/>
    <w:rsid w:val="00D05455"/>
    <w:rsid w:val="00D05B51"/>
    <w:rsid w:val="00D06A27"/>
    <w:rsid w:val="00D12C73"/>
    <w:rsid w:val="00D14DC9"/>
    <w:rsid w:val="00D3124F"/>
    <w:rsid w:val="00D43AFC"/>
    <w:rsid w:val="00D45252"/>
    <w:rsid w:val="00D54640"/>
    <w:rsid w:val="00D54755"/>
    <w:rsid w:val="00D6252A"/>
    <w:rsid w:val="00D63C1E"/>
    <w:rsid w:val="00D65E17"/>
    <w:rsid w:val="00D71B4D"/>
    <w:rsid w:val="00D81834"/>
    <w:rsid w:val="00D87927"/>
    <w:rsid w:val="00D93D55"/>
    <w:rsid w:val="00D96249"/>
    <w:rsid w:val="00D96251"/>
    <w:rsid w:val="00DA6500"/>
    <w:rsid w:val="00DB2A3D"/>
    <w:rsid w:val="00DC7BA0"/>
    <w:rsid w:val="00DF2EAE"/>
    <w:rsid w:val="00E028E0"/>
    <w:rsid w:val="00E07CFE"/>
    <w:rsid w:val="00E1482E"/>
    <w:rsid w:val="00E15015"/>
    <w:rsid w:val="00E32490"/>
    <w:rsid w:val="00E335FE"/>
    <w:rsid w:val="00E56C57"/>
    <w:rsid w:val="00E83BE3"/>
    <w:rsid w:val="00E84471"/>
    <w:rsid w:val="00E92C0C"/>
    <w:rsid w:val="00EA3D78"/>
    <w:rsid w:val="00EA6799"/>
    <w:rsid w:val="00EA7D6E"/>
    <w:rsid w:val="00EC4E49"/>
    <w:rsid w:val="00ED53B1"/>
    <w:rsid w:val="00ED77FB"/>
    <w:rsid w:val="00EE45FA"/>
    <w:rsid w:val="00F05590"/>
    <w:rsid w:val="00F13B05"/>
    <w:rsid w:val="00F3078B"/>
    <w:rsid w:val="00F62B85"/>
    <w:rsid w:val="00F66152"/>
    <w:rsid w:val="00F675A1"/>
    <w:rsid w:val="00F7440C"/>
    <w:rsid w:val="00F87C20"/>
    <w:rsid w:val="00F9539B"/>
    <w:rsid w:val="00FA4E88"/>
    <w:rsid w:val="00FB0E1F"/>
    <w:rsid w:val="00FB193E"/>
    <w:rsid w:val="00FC36BB"/>
    <w:rsid w:val="00FC7AE8"/>
    <w:rsid w:val="00FC7F5F"/>
    <w:rsid w:val="00FE259D"/>
    <w:rsid w:val="00FE2B6E"/>
    <w:rsid w:val="00FE67F3"/>
    <w:rsid w:val="00FE76CC"/>
    <w:rsid w:val="00FF7756"/>
  </w:rsids>
  <m:mathPr>
    <m:mathFont m:val="Cambria Math"/>
    <m:brkBin m:val="before"/>
    <m:brkBinSub m:val="--"/>
    <m:smallFrac m:val="0"/>
    <m:dispDef/>
    <m:lMargin m:val="0"/>
    <m:rMargin m:val="0"/>
    <m:defJc m:val="centerGroup"/>
    <m:wrapIndent m:val="1440"/>
    <m:intLim m:val="subSup"/>
    <m:naryLim m:val="undOvr"/>
  </m:mathPr>
  <w:themeFontLang w:val="fr-CH"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44C4D66"/>
  <w15:docId w15:val="{3A5C24A9-FFF8-4A08-AF5A-6435E808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ONUMEChar">
    <w:name w:val="ONUM E Char"/>
    <w:link w:val="ONUME"/>
    <w:rsid w:val="00FC7AE8"/>
    <w:rPr>
      <w:rFonts w:ascii="Arial" w:eastAsia="SimSun" w:hAnsi="Arial" w:cs="Arial"/>
      <w:sz w:val="22"/>
      <w:lang w:val="en-US" w:eastAsia="zh-CN"/>
    </w:rPr>
  </w:style>
  <w:style w:type="character" w:customStyle="1" w:styleId="BodyTextChar">
    <w:name w:val="Body Text Char"/>
    <w:basedOn w:val="DefaultParagraphFont"/>
    <w:link w:val="BodyText"/>
    <w:rsid w:val="00FC7AE8"/>
    <w:rPr>
      <w:rFonts w:ascii="Arial" w:eastAsia="SimSun" w:hAnsi="Arial" w:cs="Arial"/>
      <w:sz w:val="22"/>
      <w:lang w:val="en-US" w:eastAsia="zh-CN"/>
    </w:rPr>
  </w:style>
  <w:style w:type="paragraph" w:styleId="ListParagraph">
    <w:name w:val="List Paragraph"/>
    <w:basedOn w:val="Normal"/>
    <w:uiPriority w:val="34"/>
    <w:qFormat/>
    <w:rsid w:val="000D08AE"/>
    <w:pPr>
      <w:ind w:left="720"/>
      <w:contextualSpacing/>
    </w:pPr>
  </w:style>
  <w:style w:type="character" w:styleId="CommentReference">
    <w:name w:val="annotation reference"/>
    <w:basedOn w:val="DefaultParagraphFont"/>
    <w:uiPriority w:val="99"/>
    <w:unhideWhenUsed/>
    <w:rsid w:val="00C1371B"/>
    <w:rPr>
      <w:sz w:val="16"/>
      <w:szCs w:val="16"/>
    </w:rPr>
  </w:style>
  <w:style w:type="paragraph" w:styleId="CommentSubject">
    <w:name w:val="annotation subject"/>
    <w:basedOn w:val="CommentText"/>
    <w:next w:val="CommentText"/>
    <w:link w:val="CommentSubjectChar"/>
    <w:semiHidden/>
    <w:unhideWhenUsed/>
    <w:rsid w:val="00C1371B"/>
    <w:rPr>
      <w:b/>
      <w:bCs/>
      <w:sz w:val="20"/>
    </w:rPr>
  </w:style>
  <w:style w:type="character" w:customStyle="1" w:styleId="CommentTextChar">
    <w:name w:val="Comment Text Char"/>
    <w:basedOn w:val="DefaultParagraphFont"/>
    <w:link w:val="CommentText"/>
    <w:uiPriority w:val="99"/>
    <w:rsid w:val="00C1371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1371B"/>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FE76CC"/>
    <w:rPr>
      <w:rFonts w:ascii="Arial" w:eastAsia="SimSun" w:hAnsi="Arial" w:cs="Arial"/>
      <w:sz w:val="22"/>
      <w:lang w:val="en-US" w:eastAsia="zh-CN"/>
    </w:rPr>
  </w:style>
  <w:style w:type="character" w:customStyle="1" w:styleId="Heading3Char">
    <w:name w:val="Heading 3 Char"/>
    <w:basedOn w:val="DefaultParagraphFont"/>
    <w:link w:val="Heading3"/>
    <w:rsid w:val="000C243C"/>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300EC6"/>
    <w:rPr>
      <w:rFonts w:ascii="Arial" w:eastAsia="SimSun" w:hAnsi="Arial" w:cs="Arial"/>
      <w:bCs/>
      <w:i/>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2403">
      <w:bodyDiv w:val="1"/>
      <w:marLeft w:val="0"/>
      <w:marRight w:val="0"/>
      <w:marTop w:val="0"/>
      <w:marBottom w:val="0"/>
      <w:divBdr>
        <w:top w:val="none" w:sz="0" w:space="0" w:color="auto"/>
        <w:left w:val="none" w:sz="0" w:space="0" w:color="auto"/>
        <w:bottom w:val="none" w:sz="0" w:space="0" w:color="auto"/>
        <w:right w:val="none" w:sz="0" w:space="0" w:color="auto"/>
      </w:divBdr>
      <w:divsChild>
        <w:div w:id="906110455">
          <w:marLeft w:val="0"/>
          <w:marRight w:val="0"/>
          <w:marTop w:val="0"/>
          <w:marBottom w:val="0"/>
          <w:divBdr>
            <w:top w:val="none" w:sz="0" w:space="0" w:color="auto"/>
            <w:left w:val="none" w:sz="0" w:space="0" w:color="auto"/>
            <w:bottom w:val="none" w:sz="0" w:space="0" w:color="auto"/>
            <w:right w:val="none" w:sz="0" w:space="0" w:color="auto"/>
          </w:divBdr>
        </w:div>
        <w:div w:id="2077583267">
          <w:marLeft w:val="0"/>
          <w:marRight w:val="0"/>
          <w:marTop w:val="0"/>
          <w:marBottom w:val="0"/>
          <w:divBdr>
            <w:top w:val="none" w:sz="0" w:space="0" w:color="auto"/>
            <w:left w:val="none" w:sz="0" w:space="0" w:color="auto"/>
            <w:bottom w:val="none" w:sz="0" w:space="0" w:color="auto"/>
            <w:right w:val="none" w:sz="0" w:space="0" w:color="auto"/>
          </w:divBdr>
        </w:div>
        <w:div w:id="196285748">
          <w:marLeft w:val="0"/>
          <w:marRight w:val="0"/>
          <w:marTop w:val="0"/>
          <w:marBottom w:val="0"/>
          <w:divBdr>
            <w:top w:val="none" w:sz="0" w:space="0" w:color="auto"/>
            <w:left w:val="none" w:sz="0" w:space="0" w:color="auto"/>
            <w:bottom w:val="none" w:sz="0" w:space="0" w:color="auto"/>
            <w:right w:val="none" w:sz="0" w:space="0" w:color="auto"/>
          </w:divBdr>
        </w:div>
        <w:div w:id="88737854">
          <w:marLeft w:val="0"/>
          <w:marRight w:val="0"/>
          <w:marTop w:val="0"/>
          <w:marBottom w:val="0"/>
          <w:divBdr>
            <w:top w:val="none" w:sz="0" w:space="0" w:color="auto"/>
            <w:left w:val="none" w:sz="0" w:space="0" w:color="auto"/>
            <w:bottom w:val="none" w:sz="0" w:space="0" w:color="auto"/>
            <w:right w:val="none" w:sz="0" w:space="0" w:color="auto"/>
          </w:divBdr>
        </w:div>
      </w:divsChild>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5A938-029A-4307-BF24-2DB563D1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7</Pages>
  <Words>3206</Words>
  <Characters>16124</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CWS/7/12 (in Spanish)</vt:lpstr>
    </vt:vector>
  </TitlesOfParts>
  <Company>WIPO</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(in Spanish)</dc:title>
  <dc:subject>REVISIÓN DE LA NORMA ST.27 DE LA OMPI</dc:subject>
  <dc:creator>WIPO</dc:creator>
  <cp:keywords>CWS, WIPO</cp:keywords>
  <cp:lastModifiedBy>DRAKE Sophie</cp:lastModifiedBy>
  <cp:revision>75</cp:revision>
  <cp:lastPrinted>2019-06-19T09:23:00Z</cp:lastPrinted>
  <dcterms:created xsi:type="dcterms:W3CDTF">2019-06-17T08:01:00Z</dcterms:created>
  <dcterms:modified xsi:type="dcterms:W3CDTF">2019-06-21T09:02:00Z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