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911F3C" w:rsidRPr="00911F3C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11F3C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911F3C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11F3C">
              <w:rPr>
                <w:noProof/>
              </w:rPr>
              <w:drawing>
                <wp:inline distT="0" distB="0" distL="0" distR="0" wp14:anchorId="55D78A9E" wp14:editId="48EDA471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911F3C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911F3C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911F3C" w:rsidRPr="00911F3C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911F3C" w:rsidRDefault="00C2761A" w:rsidP="00D3739E">
            <w:pPr>
              <w:pStyle w:val="DocumentCodeAR"/>
              <w:bidi/>
              <w:rPr>
                <w:rtl/>
              </w:rPr>
            </w:pPr>
            <w:r w:rsidRPr="00911F3C">
              <w:t>CWS</w:t>
            </w:r>
            <w:r w:rsidR="00065ED1" w:rsidRPr="00911F3C">
              <w:t>/</w:t>
            </w:r>
            <w:r w:rsidRPr="00911F3C">
              <w:t>5</w:t>
            </w:r>
            <w:r w:rsidR="00B6101C" w:rsidRPr="00911F3C">
              <w:t>/</w:t>
            </w:r>
            <w:r w:rsidR="00D3739E" w:rsidRPr="00911F3C">
              <w:t>18</w:t>
            </w:r>
          </w:p>
        </w:tc>
      </w:tr>
      <w:tr w:rsidR="00911F3C" w:rsidRPr="00911F3C" w:rsidTr="00BF164F">
        <w:tc>
          <w:tcPr>
            <w:tcW w:w="9571" w:type="dxa"/>
            <w:gridSpan w:val="3"/>
          </w:tcPr>
          <w:p w:rsidR="001667B6" w:rsidRPr="00911F3C" w:rsidRDefault="00F27A7C" w:rsidP="00D3739E">
            <w:pPr>
              <w:pStyle w:val="DocumentLanguageAR"/>
              <w:bidi/>
              <w:rPr>
                <w:rtl/>
              </w:rPr>
            </w:pPr>
            <w:r w:rsidRPr="00911F3C">
              <w:rPr>
                <w:rFonts w:hint="cs"/>
                <w:rtl/>
              </w:rPr>
              <w:t xml:space="preserve">الأصل: </w:t>
            </w:r>
            <w:r w:rsidR="00D3739E" w:rsidRPr="00911F3C">
              <w:rPr>
                <w:rFonts w:hint="cs"/>
                <w:rtl/>
              </w:rPr>
              <w:t>بالإنكليزية</w:t>
            </w:r>
          </w:p>
        </w:tc>
      </w:tr>
      <w:tr w:rsidR="001667B6" w:rsidRPr="00911F3C" w:rsidTr="00BF164F">
        <w:tc>
          <w:tcPr>
            <w:tcW w:w="9571" w:type="dxa"/>
            <w:gridSpan w:val="3"/>
          </w:tcPr>
          <w:p w:rsidR="001667B6" w:rsidRPr="00911F3C" w:rsidRDefault="00B6101C" w:rsidP="00D3739E">
            <w:pPr>
              <w:pStyle w:val="DocumentDateAR"/>
              <w:bidi/>
              <w:rPr>
                <w:rtl/>
              </w:rPr>
            </w:pPr>
            <w:r w:rsidRPr="00911F3C">
              <w:rPr>
                <w:rFonts w:hint="cs"/>
                <w:rtl/>
              </w:rPr>
              <w:t xml:space="preserve">التاريخ: </w:t>
            </w:r>
            <w:r w:rsidR="00D3739E" w:rsidRPr="00911F3C">
              <w:rPr>
                <w:rFonts w:hint="cs"/>
                <w:rtl/>
              </w:rPr>
              <w:t>20</w:t>
            </w:r>
            <w:r w:rsidR="0024328E" w:rsidRPr="00911F3C">
              <w:rPr>
                <w:rFonts w:hint="cs"/>
                <w:rtl/>
              </w:rPr>
              <w:t xml:space="preserve"> </w:t>
            </w:r>
            <w:r w:rsidR="00D3739E" w:rsidRPr="00911F3C">
              <w:rPr>
                <w:rFonts w:hint="cs"/>
                <w:rtl/>
              </w:rPr>
              <w:t>أبريل</w:t>
            </w:r>
            <w:r w:rsidR="0024328E" w:rsidRPr="00911F3C">
              <w:rPr>
                <w:rFonts w:hint="cs"/>
                <w:rtl/>
              </w:rPr>
              <w:t xml:space="preserve"> </w:t>
            </w:r>
            <w:r w:rsidR="008D5779" w:rsidRPr="00911F3C">
              <w:rPr>
                <w:rFonts w:hint="cs"/>
                <w:rtl/>
              </w:rPr>
              <w:t>201</w:t>
            </w:r>
            <w:r w:rsidR="006E3DBD" w:rsidRPr="00911F3C">
              <w:rPr>
                <w:rFonts w:hint="cs"/>
                <w:rtl/>
              </w:rPr>
              <w:t>7</w:t>
            </w:r>
          </w:p>
        </w:tc>
      </w:tr>
    </w:tbl>
    <w:p w:rsidR="00C2761A" w:rsidRPr="00911F3C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911F3C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911F3C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911F3C" w:rsidRDefault="00C2761A" w:rsidP="00C2761A">
      <w:pPr>
        <w:pStyle w:val="MeetingTitleAR"/>
        <w:bidi/>
        <w:ind w:right="550"/>
        <w:rPr>
          <w:rtl/>
        </w:rPr>
      </w:pPr>
      <w:r w:rsidRPr="00911F3C">
        <w:rPr>
          <w:rtl/>
        </w:rPr>
        <w:t>اللجنة المعنية بمعايير الويبو</w:t>
      </w:r>
    </w:p>
    <w:p w:rsidR="00C2761A" w:rsidRPr="00911F3C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911F3C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911F3C">
        <w:rPr>
          <w:rFonts w:ascii="Cambria Math" w:hAnsi="Cambria Math"/>
          <w:rtl/>
        </w:rPr>
        <w:t xml:space="preserve">الدورة </w:t>
      </w:r>
      <w:r w:rsidRPr="00911F3C">
        <w:rPr>
          <w:rFonts w:ascii="Cambria Math" w:hAnsi="Cambria Math" w:hint="cs"/>
          <w:rtl/>
        </w:rPr>
        <w:t>الخامسة</w:t>
      </w:r>
    </w:p>
    <w:p w:rsidR="00C2761A" w:rsidRPr="00911F3C" w:rsidRDefault="00C2761A" w:rsidP="00C2761A">
      <w:pPr>
        <w:pStyle w:val="MeetingDatesAR"/>
        <w:bidi/>
        <w:rPr>
          <w:rtl/>
        </w:rPr>
      </w:pPr>
      <w:r w:rsidRPr="00911F3C">
        <w:rPr>
          <w:rFonts w:hint="cs"/>
          <w:rtl/>
        </w:rPr>
        <w:t>جنيف، من 29 مايو إلى 2 يونيو 2017</w:t>
      </w:r>
    </w:p>
    <w:p w:rsidR="00C2761A" w:rsidRPr="00911F3C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C2761A" w:rsidRPr="00911F3C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4D7258" w:rsidP="004D7258">
      <w:pPr>
        <w:pStyle w:val="DocumentTitleAR"/>
        <w:bidi/>
        <w:rPr>
          <w:lang w:val="fr-FR"/>
        </w:rPr>
      </w:pPr>
      <w:r w:rsidRPr="00911F3C">
        <w:rPr>
          <w:rtl/>
        </w:rPr>
        <w:t>تقرير بشأن التقارير التقنية السنوية</w:t>
      </w:r>
      <w:r w:rsidRPr="00911F3C">
        <w:rPr>
          <w:rFonts w:hint="cs"/>
          <w:rtl/>
        </w:rPr>
        <w:t xml:space="preserve"> </w:t>
      </w:r>
    </w:p>
    <w:p w:rsidR="00731259" w:rsidRPr="00731259" w:rsidRDefault="00731259" w:rsidP="00731259">
      <w:pPr>
        <w:pStyle w:val="PreparedbyAR"/>
        <w:bidi/>
        <w:spacing w:before="0" w:after="0"/>
        <w:rPr>
          <w:lang w:val="fr-FR"/>
        </w:rPr>
      </w:pPr>
    </w:p>
    <w:p w:rsidR="00C2761A" w:rsidRDefault="004D7258" w:rsidP="00731259">
      <w:pPr>
        <w:pStyle w:val="PreparedbyAR"/>
        <w:bidi/>
        <w:spacing w:before="0" w:after="0"/>
        <w:rPr>
          <w:lang w:val="fr-FR"/>
        </w:rPr>
      </w:pPr>
      <w:r w:rsidRPr="00911F3C">
        <w:rPr>
          <w:rFonts w:hint="cs"/>
          <w:rtl/>
        </w:rPr>
        <w:t xml:space="preserve">وثيقة </w:t>
      </w:r>
      <w:r w:rsidR="00C2761A" w:rsidRPr="00911F3C">
        <w:rPr>
          <w:rFonts w:hint="cs"/>
          <w:rtl/>
        </w:rPr>
        <w:t>من إعداد</w:t>
      </w:r>
      <w:r w:rsidRPr="00911F3C">
        <w:rPr>
          <w:rFonts w:hint="cs"/>
          <w:rtl/>
        </w:rPr>
        <w:t xml:space="preserve"> الأمانة</w:t>
      </w:r>
    </w:p>
    <w:p w:rsidR="00731259" w:rsidRDefault="00731259" w:rsidP="00731259">
      <w:pPr>
        <w:pStyle w:val="NormalParaAR"/>
        <w:spacing w:after="0"/>
        <w:rPr>
          <w:rtl/>
          <w:lang w:val="fr-FR"/>
        </w:rPr>
      </w:pPr>
    </w:p>
    <w:p w:rsidR="00731259" w:rsidRDefault="00731259" w:rsidP="00731259">
      <w:pPr>
        <w:pStyle w:val="NormalParaAR"/>
        <w:spacing w:after="0"/>
        <w:rPr>
          <w:rtl/>
          <w:lang w:val="fr-FR"/>
        </w:rPr>
      </w:pPr>
    </w:p>
    <w:p w:rsidR="00731259" w:rsidRPr="00731259" w:rsidRDefault="00731259" w:rsidP="00731259">
      <w:pPr>
        <w:pStyle w:val="NormalParaAR"/>
        <w:spacing w:after="0"/>
        <w:rPr>
          <w:lang w:val="fr-FR"/>
        </w:rPr>
      </w:pPr>
    </w:p>
    <w:p w:rsidR="00C2761A" w:rsidRPr="00731259" w:rsidRDefault="0071448F" w:rsidP="009E1C14">
      <w:pPr>
        <w:pStyle w:val="NumberedParaAR"/>
        <w:rPr>
          <w:lang w:val="fr-FR"/>
        </w:rPr>
      </w:pPr>
      <w:r w:rsidRPr="00911F3C">
        <w:rPr>
          <w:rtl/>
        </w:rPr>
        <w:t>إن اللجنة المعنية بمعايير الويبو (لجنة المعايير) ف</w:t>
      </w:r>
      <w:r w:rsidR="009E1C14" w:rsidRPr="00911F3C">
        <w:rPr>
          <w:rtl/>
        </w:rPr>
        <w:t>ي دورتها الرابعة المجتمعة مجددا</w:t>
      </w:r>
      <w:r w:rsidRPr="00911F3C">
        <w:rPr>
          <w:rtl/>
        </w:rPr>
        <w:t xml:space="preserve"> التي عُقدت في الفترة من 21 إلى</w:t>
      </w:r>
      <w:r w:rsidR="009E1C14" w:rsidRPr="00731259">
        <w:rPr>
          <w:lang w:val="fr-FR"/>
        </w:rPr>
        <w:t> </w:t>
      </w:r>
      <w:r w:rsidRPr="00911F3C">
        <w:rPr>
          <w:rtl/>
        </w:rPr>
        <w:t>24</w:t>
      </w:r>
      <w:r w:rsidR="00DC7048" w:rsidRPr="00911F3C">
        <w:rPr>
          <w:rFonts w:hint="cs"/>
          <w:rtl/>
        </w:rPr>
        <w:t> </w:t>
      </w:r>
      <w:r w:rsidRPr="00911F3C">
        <w:rPr>
          <w:rtl/>
        </w:rPr>
        <w:t>مارس 2016</w:t>
      </w:r>
      <w:r w:rsidR="009E1C14" w:rsidRPr="00911F3C">
        <w:rPr>
          <w:rFonts w:hint="cs"/>
          <w:rtl/>
        </w:rPr>
        <w:t>، أحاطت علما</w:t>
      </w:r>
      <w:r w:rsidR="0048532E" w:rsidRPr="00911F3C">
        <w:rPr>
          <w:rFonts w:hint="cs"/>
          <w:rtl/>
        </w:rPr>
        <w:t xml:space="preserve"> </w:t>
      </w:r>
      <w:r w:rsidR="0048532E" w:rsidRPr="00911F3C">
        <w:rPr>
          <w:rtl/>
        </w:rPr>
        <w:t xml:space="preserve">بالعرض الذي قدمه المكتب الدولي </w:t>
      </w:r>
      <w:r w:rsidR="002C66C0" w:rsidRPr="00911F3C">
        <w:rPr>
          <w:rFonts w:hint="cs"/>
          <w:rtl/>
        </w:rPr>
        <w:t>عن</w:t>
      </w:r>
      <w:r w:rsidR="0048532E" w:rsidRPr="00911F3C">
        <w:rPr>
          <w:rtl/>
        </w:rPr>
        <w:t xml:space="preserve"> موقع التحرير الجماعي السريع (ويكي) الجديد الخاص بالتقارير التقنية السنوية، وهيكله ووظيف</w:t>
      </w:r>
      <w:r w:rsidR="00007CBD" w:rsidRPr="00911F3C">
        <w:rPr>
          <w:rFonts w:hint="cs"/>
          <w:rtl/>
        </w:rPr>
        <w:t>ته</w:t>
      </w:r>
      <w:r w:rsidR="009E1C14" w:rsidRPr="00911F3C">
        <w:rPr>
          <w:rtl/>
        </w:rPr>
        <w:t>، فضلا</w:t>
      </w:r>
      <w:r w:rsidR="0048532E" w:rsidRPr="00911F3C">
        <w:rPr>
          <w:rtl/>
        </w:rPr>
        <w:t xml:space="preserve"> عن المعلومات الإحصائية الخاصة بال</w:t>
      </w:r>
      <w:r w:rsidR="002C66C0" w:rsidRPr="00911F3C">
        <w:rPr>
          <w:rtl/>
        </w:rPr>
        <w:t xml:space="preserve">تقارير التقنية السنوية المقدمة </w:t>
      </w:r>
      <w:r w:rsidR="002C66C0" w:rsidRPr="00911F3C">
        <w:rPr>
          <w:rFonts w:hint="cs"/>
          <w:rtl/>
        </w:rPr>
        <w:t xml:space="preserve">عن </w:t>
      </w:r>
      <w:r w:rsidR="0048532E" w:rsidRPr="00911F3C">
        <w:rPr>
          <w:rtl/>
        </w:rPr>
        <w:t>عام 2014.</w:t>
      </w:r>
      <w:r w:rsidR="009E224B" w:rsidRPr="00911F3C">
        <w:rPr>
          <w:rFonts w:hint="cs"/>
          <w:rtl/>
        </w:rPr>
        <w:t xml:space="preserve"> </w:t>
      </w:r>
      <w:r w:rsidR="009E224B" w:rsidRPr="00911F3C">
        <w:rPr>
          <w:rtl/>
        </w:rPr>
        <w:t xml:space="preserve">وشجّعت </w:t>
      </w:r>
      <w:r w:rsidR="00C878CF" w:rsidRPr="00911F3C">
        <w:rPr>
          <w:rtl/>
        </w:rPr>
        <w:t xml:space="preserve">لجنة المعايير </w:t>
      </w:r>
      <w:r w:rsidR="009E224B" w:rsidRPr="00911F3C">
        <w:rPr>
          <w:rtl/>
        </w:rPr>
        <w:t xml:space="preserve">مكاتب الملكية الصناعية على المشاركة في </w:t>
      </w:r>
      <w:r w:rsidR="00C878CF" w:rsidRPr="00911F3C">
        <w:rPr>
          <w:rtl/>
        </w:rPr>
        <w:t xml:space="preserve">عملية التقارير التقنية السنوية </w:t>
      </w:r>
      <w:r w:rsidR="00C878CF" w:rsidRPr="00911F3C">
        <w:rPr>
          <w:rFonts w:hint="cs"/>
          <w:rtl/>
        </w:rPr>
        <w:t xml:space="preserve">عن </w:t>
      </w:r>
      <w:r w:rsidR="00C878CF" w:rsidRPr="00911F3C">
        <w:rPr>
          <w:rtl/>
        </w:rPr>
        <w:t>عام</w:t>
      </w:r>
      <w:r w:rsidR="009E1C14" w:rsidRPr="00731259">
        <w:rPr>
          <w:lang w:val="fr-FR"/>
        </w:rPr>
        <w:t> </w:t>
      </w:r>
      <w:r w:rsidR="00C878CF" w:rsidRPr="00911F3C">
        <w:rPr>
          <w:rtl/>
        </w:rPr>
        <w:t>2015</w:t>
      </w:r>
      <w:r w:rsidR="009E224B" w:rsidRPr="00911F3C">
        <w:rPr>
          <w:rtl/>
        </w:rPr>
        <w:t xml:space="preserve"> التي </w:t>
      </w:r>
      <w:r w:rsidR="009B4B77" w:rsidRPr="00911F3C">
        <w:rPr>
          <w:rFonts w:hint="cs"/>
          <w:rtl/>
        </w:rPr>
        <w:t>جرت</w:t>
      </w:r>
      <w:r w:rsidR="009E224B" w:rsidRPr="00911F3C">
        <w:rPr>
          <w:rtl/>
        </w:rPr>
        <w:t xml:space="preserve"> في عام 2016.</w:t>
      </w:r>
      <w:r w:rsidR="000D404E" w:rsidRPr="00911F3C">
        <w:rPr>
          <w:rFonts w:hint="cs"/>
          <w:rtl/>
        </w:rPr>
        <w:t xml:space="preserve"> </w:t>
      </w:r>
    </w:p>
    <w:p w:rsidR="000D404E" w:rsidRPr="00911F3C" w:rsidRDefault="000D404E" w:rsidP="00927A87">
      <w:pPr>
        <w:pStyle w:val="NumberedParaAR"/>
      </w:pPr>
      <w:r w:rsidRPr="00911F3C">
        <w:rPr>
          <w:rFonts w:hint="cs"/>
          <w:rtl/>
        </w:rPr>
        <w:t xml:space="preserve">وعقب هذا القرار الذي اتخذته لجنة المعايير، أصدر المكتب الدولي التعاميم </w:t>
      </w:r>
      <w:r w:rsidRPr="00911F3C">
        <w:t>C.CWS 68</w:t>
      </w:r>
      <w:r w:rsidR="00F8164E" w:rsidRPr="00911F3C">
        <w:rPr>
          <w:rFonts w:hint="cs"/>
          <w:rtl/>
        </w:rPr>
        <w:t xml:space="preserve"> و</w:t>
      </w:r>
      <w:r w:rsidR="00F8164E" w:rsidRPr="00911F3C">
        <w:t>C.CWS 69</w:t>
      </w:r>
      <w:r w:rsidR="00F8164E" w:rsidRPr="00911F3C">
        <w:rPr>
          <w:rFonts w:hint="cs"/>
          <w:rtl/>
        </w:rPr>
        <w:t xml:space="preserve"> و</w:t>
      </w:r>
      <w:r w:rsidR="00F8164E" w:rsidRPr="00911F3C">
        <w:t>C.CWS 70</w:t>
      </w:r>
      <w:r w:rsidR="00F8164E" w:rsidRPr="00911F3C">
        <w:rPr>
          <w:rFonts w:hint="cs"/>
          <w:rtl/>
        </w:rPr>
        <w:t xml:space="preserve"> </w:t>
      </w:r>
      <w:r w:rsidRPr="00911F3C">
        <w:rPr>
          <w:rFonts w:hint="cs"/>
          <w:rtl/>
        </w:rPr>
        <w:t xml:space="preserve">المؤرخة 25 أبريل 2016، ودعا فيها مكاتب الملكية الصناعية إلى تقديم تقاريرها التقنية السنوية عن أنشطتها </w:t>
      </w:r>
      <w:r w:rsidR="002865A2" w:rsidRPr="00911F3C">
        <w:rPr>
          <w:rtl/>
        </w:rPr>
        <w:t xml:space="preserve">في مجال المعلومات المتعلقة بالبراءات والعلامات التجارية </w:t>
      </w:r>
      <w:r w:rsidR="00FA4977" w:rsidRPr="00911F3C">
        <w:rPr>
          <w:rFonts w:hint="cs"/>
          <w:rtl/>
        </w:rPr>
        <w:t xml:space="preserve">والتصاميم الصناعية عن </w:t>
      </w:r>
      <w:r w:rsidRPr="00911F3C">
        <w:rPr>
          <w:rFonts w:hint="cs"/>
          <w:rtl/>
        </w:rPr>
        <w:t xml:space="preserve">عام 2015. </w:t>
      </w:r>
    </w:p>
    <w:p w:rsidR="0070315B" w:rsidRPr="00911F3C" w:rsidRDefault="0078151D" w:rsidP="00273B6B">
      <w:pPr>
        <w:pStyle w:val="NumberedParaAR"/>
      </w:pPr>
      <w:r w:rsidRPr="00911F3C">
        <w:rPr>
          <w:rFonts w:hint="cs"/>
          <w:rtl/>
        </w:rPr>
        <w:t>وردّ إلى هذا التاريخ 23</w:t>
      </w:r>
      <w:r w:rsidR="009E1C14" w:rsidRPr="00911F3C">
        <w:rPr>
          <w:rFonts w:hint="cs"/>
          <w:rtl/>
        </w:rPr>
        <w:t xml:space="preserve"> مكتبا</w:t>
      </w:r>
      <w:r w:rsidRPr="00911F3C">
        <w:rPr>
          <w:rFonts w:hint="cs"/>
          <w:rtl/>
        </w:rPr>
        <w:t xml:space="preserve"> للملكية الصناعية على هذه التعاميم، وقدمت هذه المكاتب</w:t>
      </w:r>
      <w:r w:rsidR="009E1C14" w:rsidRPr="00911F3C">
        <w:rPr>
          <w:rFonts w:hint="cs"/>
          <w:rtl/>
        </w:rPr>
        <w:t xml:space="preserve"> عددا</w:t>
      </w:r>
      <w:r w:rsidR="00162449" w:rsidRPr="00911F3C">
        <w:rPr>
          <w:rFonts w:hint="cs"/>
          <w:rtl/>
        </w:rPr>
        <w:t xml:space="preserve"> إجماليا من</w:t>
      </w:r>
      <w:r w:rsidR="005F7024" w:rsidRPr="00911F3C">
        <w:rPr>
          <w:rFonts w:hint="cs"/>
          <w:rtl/>
        </w:rPr>
        <w:t xml:space="preserve"> 62</w:t>
      </w:r>
      <w:r w:rsidR="009E1C14" w:rsidRPr="00911F3C">
        <w:rPr>
          <w:rFonts w:hint="cs"/>
          <w:rtl/>
        </w:rPr>
        <w:t xml:space="preserve"> تقريرا تقنيا سنويا</w:t>
      </w:r>
      <w:r w:rsidR="005F7024" w:rsidRPr="00911F3C">
        <w:rPr>
          <w:rFonts w:hint="cs"/>
          <w:rtl/>
        </w:rPr>
        <w:t xml:space="preserve"> عن </w:t>
      </w:r>
      <w:r w:rsidRPr="00911F3C">
        <w:rPr>
          <w:rFonts w:hint="cs"/>
          <w:rtl/>
        </w:rPr>
        <w:t xml:space="preserve">عام 2015. </w:t>
      </w:r>
      <w:r w:rsidR="009E1C14" w:rsidRPr="00911F3C">
        <w:rPr>
          <w:rFonts w:hint="cs"/>
          <w:rtl/>
        </w:rPr>
        <w:t>ويبيّن ذلك ارتفاعا</w:t>
      </w:r>
      <w:r w:rsidR="00F17A7E" w:rsidRPr="00911F3C">
        <w:rPr>
          <w:rFonts w:hint="cs"/>
          <w:rtl/>
        </w:rPr>
        <w:t xml:space="preserve"> في عدد التقارير مقارنة بالأرقام التي قُدّمت في </w:t>
      </w:r>
      <w:r w:rsidR="00F17A7E" w:rsidRPr="00911F3C">
        <w:rPr>
          <w:rtl/>
        </w:rPr>
        <w:t>الدورة الرابعة المجتمعة مجددا للجنة المعايير</w:t>
      </w:r>
      <w:r w:rsidR="00BB3428" w:rsidRPr="00911F3C">
        <w:rPr>
          <w:rFonts w:hint="cs"/>
          <w:rtl/>
        </w:rPr>
        <w:t xml:space="preserve"> (20</w:t>
      </w:r>
      <w:r w:rsidR="009E1C14" w:rsidRPr="00911F3C">
        <w:rPr>
          <w:rFonts w:hint="cs"/>
          <w:rtl/>
        </w:rPr>
        <w:t xml:space="preserve"> مكتبا</w:t>
      </w:r>
      <w:r w:rsidR="00BB3428" w:rsidRPr="00911F3C">
        <w:rPr>
          <w:rFonts w:hint="cs"/>
          <w:rtl/>
        </w:rPr>
        <w:t xml:space="preserve"> للملكية الصناعية</w:t>
      </w:r>
      <w:r w:rsidR="00162449" w:rsidRPr="00911F3C">
        <w:rPr>
          <w:rFonts w:hint="cs"/>
          <w:rtl/>
        </w:rPr>
        <w:t xml:space="preserve"> وعدد إجمالي من 49</w:t>
      </w:r>
      <w:r w:rsidR="009E1C14" w:rsidRPr="00911F3C">
        <w:rPr>
          <w:rFonts w:hint="cs"/>
          <w:rtl/>
        </w:rPr>
        <w:t xml:space="preserve"> تقريرا تقنيا سنويا</w:t>
      </w:r>
      <w:r w:rsidR="00162449" w:rsidRPr="00911F3C">
        <w:rPr>
          <w:rFonts w:hint="cs"/>
          <w:rtl/>
        </w:rPr>
        <w:t xml:space="preserve"> </w:t>
      </w:r>
      <w:r w:rsidR="005F7024" w:rsidRPr="00911F3C">
        <w:rPr>
          <w:rFonts w:hint="cs"/>
          <w:rtl/>
        </w:rPr>
        <w:t xml:space="preserve">عن </w:t>
      </w:r>
      <w:r w:rsidR="00273B6B" w:rsidRPr="00911F3C">
        <w:rPr>
          <w:rFonts w:hint="cs"/>
          <w:rtl/>
        </w:rPr>
        <w:t>ع</w:t>
      </w:r>
      <w:r w:rsidR="005F7353" w:rsidRPr="00911F3C">
        <w:rPr>
          <w:rFonts w:hint="cs"/>
          <w:rtl/>
        </w:rPr>
        <w:t xml:space="preserve">ام 2014 جُمعت في مارس 2016). </w:t>
      </w:r>
    </w:p>
    <w:p w:rsidR="00C50399" w:rsidRPr="00911F3C" w:rsidRDefault="00630E55" w:rsidP="003D691A">
      <w:pPr>
        <w:pStyle w:val="NumberedParaAR"/>
      </w:pPr>
      <w:r w:rsidRPr="00911F3C">
        <w:rPr>
          <w:rFonts w:hint="cs"/>
          <w:rtl/>
        </w:rPr>
        <w:t xml:space="preserve">وعقب </w:t>
      </w:r>
      <w:r w:rsidRPr="00911F3C">
        <w:rPr>
          <w:rtl/>
        </w:rPr>
        <w:t>الدورة الرابعة المجتمعة مجددا للجنة المعايير</w:t>
      </w:r>
      <w:r w:rsidR="00273B6B" w:rsidRPr="00911F3C">
        <w:rPr>
          <w:rFonts w:hint="cs"/>
          <w:rtl/>
        </w:rPr>
        <w:t xml:space="preserve">، قُدّمت </w:t>
      </w:r>
      <w:r w:rsidR="003D691A" w:rsidRPr="00911F3C">
        <w:rPr>
          <w:rFonts w:hint="cs"/>
          <w:rtl/>
        </w:rPr>
        <w:t xml:space="preserve">تسعة تقارير تقنية سنوية إضافية عن </w:t>
      </w:r>
      <w:r w:rsidR="00273B6B" w:rsidRPr="00911F3C">
        <w:rPr>
          <w:rFonts w:hint="cs"/>
          <w:rtl/>
        </w:rPr>
        <w:t xml:space="preserve">عام 2014 </w:t>
      </w:r>
      <w:r w:rsidR="00FA26F5" w:rsidRPr="00911F3C">
        <w:rPr>
          <w:rFonts w:hint="cs"/>
          <w:rtl/>
        </w:rPr>
        <w:t xml:space="preserve">فارتفع </w:t>
      </w:r>
      <w:r w:rsidR="002F0141" w:rsidRPr="00911F3C">
        <w:rPr>
          <w:rFonts w:hint="cs"/>
          <w:rtl/>
        </w:rPr>
        <w:t>ال</w:t>
      </w:r>
      <w:r w:rsidR="00FA26F5" w:rsidRPr="00911F3C">
        <w:rPr>
          <w:rFonts w:hint="cs"/>
          <w:rtl/>
        </w:rPr>
        <w:t xml:space="preserve">عدد </w:t>
      </w:r>
      <w:r w:rsidR="002F0141" w:rsidRPr="00911F3C">
        <w:rPr>
          <w:rFonts w:hint="cs"/>
          <w:rtl/>
        </w:rPr>
        <w:t xml:space="preserve">الإجمالي من </w:t>
      </w:r>
      <w:r w:rsidR="00FA26F5" w:rsidRPr="00911F3C">
        <w:rPr>
          <w:rFonts w:hint="cs"/>
          <w:rtl/>
        </w:rPr>
        <w:t>التقارير التقنية السنوية</w:t>
      </w:r>
      <w:r w:rsidR="003D691A" w:rsidRPr="00911F3C">
        <w:rPr>
          <w:rFonts w:hint="cs"/>
          <w:rtl/>
        </w:rPr>
        <w:t xml:space="preserve"> عن </w:t>
      </w:r>
      <w:r w:rsidR="002F0141" w:rsidRPr="00911F3C">
        <w:rPr>
          <w:rFonts w:hint="cs"/>
          <w:rtl/>
        </w:rPr>
        <w:t xml:space="preserve">عام 2014 المنشورة على </w:t>
      </w:r>
      <w:r w:rsidR="002F0141" w:rsidRPr="00911F3C">
        <w:rPr>
          <w:rtl/>
        </w:rPr>
        <w:t>موقع التحرير الجماعي السريع (ويكي)</w:t>
      </w:r>
      <w:r w:rsidR="002F0141" w:rsidRPr="00911F3C">
        <w:rPr>
          <w:rFonts w:hint="cs"/>
          <w:rtl/>
        </w:rPr>
        <w:t xml:space="preserve"> إلى 58</w:t>
      </w:r>
      <w:r w:rsidR="00326471" w:rsidRPr="00911F3C">
        <w:rPr>
          <w:rFonts w:hint="cs"/>
          <w:rtl/>
        </w:rPr>
        <w:t xml:space="preserve"> تقريرا</w:t>
      </w:r>
      <w:r w:rsidR="002F0141" w:rsidRPr="00911F3C">
        <w:rPr>
          <w:rFonts w:hint="cs"/>
          <w:rtl/>
        </w:rPr>
        <w:t xml:space="preserve"> وأصبح عدد مكاتب الملكية الصناعية التي قدمت تق</w:t>
      </w:r>
      <w:r w:rsidR="003E008C" w:rsidRPr="00911F3C">
        <w:rPr>
          <w:rFonts w:hint="cs"/>
          <w:rtl/>
        </w:rPr>
        <w:t>ا</w:t>
      </w:r>
      <w:r w:rsidR="003D691A" w:rsidRPr="00911F3C">
        <w:rPr>
          <w:rFonts w:hint="cs"/>
          <w:rtl/>
        </w:rPr>
        <w:t xml:space="preserve">ريرها التقنية السنوية عن </w:t>
      </w:r>
      <w:r w:rsidR="002F0141" w:rsidRPr="00911F3C">
        <w:rPr>
          <w:rFonts w:hint="cs"/>
          <w:rtl/>
        </w:rPr>
        <w:t xml:space="preserve">عام 2014 </w:t>
      </w:r>
      <w:r w:rsidR="003D691A" w:rsidRPr="00911F3C">
        <w:rPr>
          <w:rFonts w:hint="cs"/>
          <w:rtl/>
        </w:rPr>
        <w:t>الآن 23</w:t>
      </w:r>
      <w:r w:rsidR="002F0141" w:rsidRPr="00911F3C">
        <w:rPr>
          <w:rFonts w:hint="cs"/>
          <w:rtl/>
        </w:rPr>
        <w:t xml:space="preserve"> مكتبا. </w:t>
      </w:r>
      <w:r w:rsidR="00C50399" w:rsidRPr="00911F3C">
        <w:rPr>
          <w:rFonts w:hint="cs"/>
          <w:rtl/>
        </w:rPr>
        <w:t xml:space="preserve">ويُحتمل أن يشهد عدد </w:t>
      </w:r>
      <w:r w:rsidR="00AB0E19" w:rsidRPr="00911F3C">
        <w:rPr>
          <w:rFonts w:hint="cs"/>
          <w:rtl/>
        </w:rPr>
        <w:t xml:space="preserve">التقارير التقنية السنوية عن </w:t>
      </w:r>
      <w:r w:rsidR="00C50399" w:rsidRPr="00911F3C">
        <w:rPr>
          <w:rFonts w:hint="cs"/>
          <w:rtl/>
        </w:rPr>
        <w:t>عام 2015 المشار إليه في الفقرة 3</w:t>
      </w:r>
      <w:r w:rsidR="00326471" w:rsidRPr="00911F3C">
        <w:rPr>
          <w:rFonts w:hint="cs"/>
          <w:rtl/>
        </w:rPr>
        <w:t xml:space="preserve"> ارتفاعا طفيفا</w:t>
      </w:r>
      <w:r w:rsidR="00C50399" w:rsidRPr="00911F3C">
        <w:rPr>
          <w:rFonts w:hint="cs"/>
          <w:rtl/>
        </w:rPr>
        <w:t xml:space="preserve"> عقب دورة لجنة المعايير هذه أيضاً. </w:t>
      </w:r>
    </w:p>
    <w:p w:rsidR="00334BDA" w:rsidRPr="00911F3C" w:rsidRDefault="00516745" w:rsidP="00326471">
      <w:pPr>
        <w:pStyle w:val="NumberedParaAR"/>
      </w:pPr>
      <w:r w:rsidRPr="00911F3C">
        <w:rPr>
          <w:rFonts w:hint="cs"/>
          <w:rtl/>
        </w:rPr>
        <w:lastRenderedPageBreak/>
        <w:t xml:space="preserve">وترد قائمة التقارير التقنية السنوية المجمّعة في مرفق هذه الوثيقة. </w:t>
      </w:r>
      <w:r w:rsidR="00334BDA" w:rsidRPr="00911F3C">
        <w:rPr>
          <w:rFonts w:hint="cs"/>
          <w:rtl/>
        </w:rPr>
        <w:t>وتُتاح جميع التقارير التقنية السنوية المقدمة منذ عام</w:t>
      </w:r>
      <w:r w:rsidR="00326471" w:rsidRPr="00911F3C">
        <w:rPr>
          <w:rFonts w:hint="eastAsia"/>
        </w:rPr>
        <w:t> </w:t>
      </w:r>
      <w:r w:rsidR="00334BDA" w:rsidRPr="00911F3C">
        <w:rPr>
          <w:rFonts w:hint="cs"/>
          <w:rtl/>
        </w:rPr>
        <w:t xml:space="preserve">1998 على </w:t>
      </w:r>
      <w:r w:rsidR="00334BDA" w:rsidRPr="00911F3C">
        <w:rPr>
          <w:rtl/>
        </w:rPr>
        <w:t>موقع التحرير الجماعي السريع (ويكي) الخاص بالتقارير التقنية السنوية</w:t>
      </w:r>
      <w:r w:rsidR="00334BDA" w:rsidRPr="00911F3C">
        <w:rPr>
          <w:rFonts w:hint="cs"/>
          <w:rtl/>
        </w:rPr>
        <w:t xml:space="preserve"> على الرابط التالي: </w:t>
      </w:r>
      <w:hyperlink r:id="rId9" w:history="1">
        <w:r w:rsidR="00334BDA" w:rsidRPr="00911F3C">
          <w:rPr>
            <w:rStyle w:val="Hyperlink"/>
            <w:color w:val="auto"/>
          </w:rPr>
          <w:t>https://www3.wipo.int/confluence/display/ATR/Annual+Technical+Reports+Home</w:t>
        </w:r>
      </w:hyperlink>
      <w:r w:rsidR="00334BDA" w:rsidRPr="00911F3C">
        <w:t>.</w:t>
      </w:r>
    </w:p>
    <w:p w:rsidR="00C2761A" w:rsidRPr="00911F3C" w:rsidRDefault="001E3973" w:rsidP="00097E93">
      <w:pPr>
        <w:pStyle w:val="NumberedParaAR"/>
      </w:pPr>
      <w:r w:rsidRPr="00911F3C">
        <w:rPr>
          <w:rFonts w:hint="cs"/>
          <w:rtl/>
        </w:rPr>
        <w:t xml:space="preserve">وأصدر </w:t>
      </w:r>
      <w:r w:rsidR="00FE7C8F" w:rsidRPr="00911F3C">
        <w:rPr>
          <w:rFonts w:hint="cs"/>
          <w:rtl/>
        </w:rPr>
        <w:t>المكتب الدولي من أجل إطلاق ال</w:t>
      </w:r>
      <w:r w:rsidRPr="00911F3C">
        <w:rPr>
          <w:rtl/>
        </w:rPr>
        <w:t xml:space="preserve">عملية </w:t>
      </w:r>
      <w:r w:rsidR="00FE7C8F" w:rsidRPr="00911F3C">
        <w:rPr>
          <w:rFonts w:hint="cs"/>
          <w:rtl/>
        </w:rPr>
        <w:t>القادمة ل</w:t>
      </w:r>
      <w:r w:rsidR="00FE7C8F" w:rsidRPr="00911F3C">
        <w:rPr>
          <w:rtl/>
        </w:rPr>
        <w:t>لتقارير التقنية السنوية</w:t>
      </w:r>
      <w:r w:rsidR="002E75C0" w:rsidRPr="00911F3C">
        <w:rPr>
          <w:rFonts w:hint="cs"/>
          <w:rtl/>
        </w:rPr>
        <w:t xml:space="preserve"> التعاميم </w:t>
      </w:r>
      <w:r w:rsidR="002E75C0" w:rsidRPr="00911F3C">
        <w:t>C.CWS 84</w:t>
      </w:r>
      <w:r w:rsidR="002E75C0" w:rsidRPr="00911F3C">
        <w:rPr>
          <w:rFonts w:hint="cs"/>
          <w:rtl/>
        </w:rPr>
        <w:t xml:space="preserve"> و</w:t>
      </w:r>
      <w:r w:rsidR="002E75C0" w:rsidRPr="00911F3C">
        <w:t>C.CWS85</w:t>
      </w:r>
      <w:r w:rsidR="002E75C0" w:rsidRPr="00911F3C">
        <w:rPr>
          <w:rFonts w:hint="cs"/>
          <w:rtl/>
        </w:rPr>
        <w:t> و</w:t>
      </w:r>
      <w:r w:rsidR="002E75C0" w:rsidRPr="00911F3C">
        <w:t xml:space="preserve"> C.CWS 86</w:t>
      </w:r>
      <w:r w:rsidR="002E75C0" w:rsidRPr="00911F3C">
        <w:rPr>
          <w:rFonts w:hint="cs"/>
          <w:rtl/>
        </w:rPr>
        <w:t xml:space="preserve">المؤرخة 13 أبريل 2017، </w:t>
      </w:r>
      <w:r w:rsidR="0098324A" w:rsidRPr="00911F3C">
        <w:rPr>
          <w:rFonts w:hint="cs"/>
          <w:rtl/>
        </w:rPr>
        <w:t xml:space="preserve">ودعا فيها مكاتب الملكية الصناعية إلى تقديم تقاريرها التقنية السنوية بشأن </w:t>
      </w:r>
      <w:r w:rsidR="0098324A" w:rsidRPr="00911F3C">
        <w:rPr>
          <w:rtl/>
        </w:rPr>
        <w:t>أنشط</w:t>
      </w:r>
      <w:r w:rsidR="007B6D02" w:rsidRPr="00911F3C">
        <w:rPr>
          <w:rFonts w:hint="cs"/>
          <w:rtl/>
        </w:rPr>
        <w:t xml:space="preserve">تها </w:t>
      </w:r>
      <w:r w:rsidR="007B6D02" w:rsidRPr="00911F3C">
        <w:rPr>
          <w:rtl/>
        </w:rPr>
        <w:t xml:space="preserve">في مجال المعلومات المتعلقة بالبراءات والعلامات التجارية </w:t>
      </w:r>
      <w:r w:rsidR="007B6D02" w:rsidRPr="00911F3C">
        <w:rPr>
          <w:rFonts w:hint="cs"/>
          <w:rtl/>
        </w:rPr>
        <w:t>والتصاميم</w:t>
      </w:r>
      <w:r w:rsidR="007B6D02" w:rsidRPr="00911F3C">
        <w:rPr>
          <w:rtl/>
        </w:rPr>
        <w:t xml:space="preserve"> الصناعية</w:t>
      </w:r>
      <w:r w:rsidR="0098324A" w:rsidRPr="00911F3C">
        <w:rPr>
          <w:rtl/>
        </w:rPr>
        <w:t xml:space="preserve"> </w:t>
      </w:r>
      <w:r w:rsidR="00290A4E" w:rsidRPr="00911F3C">
        <w:rPr>
          <w:rFonts w:hint="cs"/>
          <w:rtl/>
        </w:rPr>
        <w:t xml:space="preserve">عن </w:t>
      </w:r>
      <w:r w:rsidR="007B6D02" w:rsidRPr="00911F3C">
        <w:rPr>
          <w:rFonts w:hint="cs"/>
          <w:rtl/>
        </w:rPr>
        <w:t>عام 201</w:t>
      </w:r>
      <w:r w:rsidR="00097E93" w:rsidRPr="00911F3C">
        <w:rPr>
          <w:rFonts w:hint="cs"/>
          <w:rtl/>
        </w:rPr>
        <w:t>6</w:t>
      </w:r>
      <w:r w:rsidR="007B6D02" w:rsidRPr="00911F3C">
        <w:rPr>
          <w:rFonts w:hint="cs"/>
          <w:rtl/>
        </w:rPr>
        <w:t xml:space="preserve"> في موعد أقصاه 18 أغسطس 2017. </w:t>
      </w:r>
    </w:p>
    <w:p w:rsidR="007B6D02" w:rsidRPr="00911F3C" w:rsidRDefault="00CE0F6A" w:rsidP="00CE0F6A">
      <w:pPr>
        <w:pStyle w:val="DecisionParaAR"/>
      </w:pPr>
      <w:r w:rsidRPr="00911F3C">
        <w:rPr>
          <w:rFonts w:hint="cs"/>
          <w:rtl/>
        </w:rPr>
        <w:t xml:space="preserve">إن لجنة المعايير مدعوة إلى: </w:t>
      </w:r>
    </w:p>
    <w:p w:rsidR="00CE0F6A" w:rsidRPr="00911F3C" w:rsidRDefault="004947B6" w:rsidP="004947B6">
      <w:pPr>
        <w:pStyle w:val="DecisionParaAR"/>
        <w:numPr>
          <w:ilvl w:val="0"/>
          <w:numId w:val="0"/>
        </w:numPr>
        <w:ind w:left="6236"/>
        <w:rPr>
          <w:rtl/>
        </w:rPr>
      </w:pPr>
      <w:r w:rsidRPr="00911F3C">
        <w:rPr>
          <w:rFonts w:hint="cs"/>
          <w:rtl/>
          <w:lang w:val="fr-FR" w:bidi="ar-EG"/>
        </w:rPr>
        <w:t>(أ)</w:t>
      </w:r>
      <w:r w:rsidRPr="00911F3C">
        <w:rPr>
          <w:rtl/>
          <w:lang w:val="fr-FR" w:bidi="ar-EG"/>
        </w:rPr>
        <w:tab/>
      </w:r>
      <w:r w:rsidR="00202638" w:rsidRPr="00911F3C">
        <w:rPr>
          <w:rFonts w:hint="cs"/>
          <w:rtl/>
        </w:rPr>
        <w:t>الإحاطة علماً بمحتو</w:t>
      </w:r>
      <w:r w:rsidR="00202638" w:rsidRPr="00911F3C">
        <w:rPr>
          <w:rFonts w:hint="eastAsia"/>
          <w:rtl/>
        </w:rPr>
        <w:t>ى</w:t>
      </w:r>
      <w:r w:rsidR="00202638" w:rsidRPr="00911F3C">
        <w:rPr>
          <w:rFonts w:hint="cs"/>
          <w:rtl/>
        </w:rPr>
        <w:t xml:space="preserve"> هذه الوثيقة؛ </w:t>
      </w:r>
    </w:p>
    <w:p w:rsidR="00731259" w:rsidRDefault="004947B6" w:rsidP="00731259">
      <w:pPr>
        <w:pStyle w:val="DecisionParaAR"/>
        <w:numPr>
          <w:ilvl w:val="0"/>
          <w:numId w:val="0"/>
        </w:numPr>
        <w:spacing w:after="0"/>
        <w:ind w:left="5527" w:firstLine="709"/>
        <w:rPr>
          <w:lang w:val="fr-FR"/>
        </w:rPr>
      </w:pPr>
      <w:r w:rsidRPr="00911F3C">
        <w:rPr>
          <w:rFonts w:hint="cs"/>
          <w:rtl/>
        </w:rPr>
        <w:t>(ب)</w:t>
      </w:r>
      <w:r w:rsidRPr="00911F3C">
        <w:rPr>
          <w:rtl/>
        </w:rPr>
        <w:tab/>
      </w:r>
      <w:r w:rsidR="00202638" w:rsidRPr="00911F3C">
        <w:rPr>
          <w:rFonts w:hint="cs"/>
          <w:rtl/>
        </w:rPr>
        <w:t xml:space="preserve">تشجيع مكاتب الملكية الصناعية على الرد على التعاميم </w:t>
      </w:r>
      <w:r w:rsidR="002709BB" w:rsidRPr="00911F3C">
        <w:rPr>
          <w:rFonts w:hint="cs"/>
          <w:rtl/>
        </w:rPr>
        <w:t>المذكورة</w:t>
      </w:r>
      <w:r w:rsidR="00202638" w:rsidRPr="00911F3C">
        <w:rPr>
          <w:rFonts w:hint="cs"/>
          <w:rtl/>
        </w:rPr>
        <w:t xml:space="preserve"> في الفقرة 6 أعلاه وعلى </w:t>
      </w:r>
      <w:r w:rsidR="00576751" w:rsidRPr="00911F3C">
        <w:rPr>
          <w:rFonts w:hint="cs"/>
          <w:rtl/>
        </w:rPr>
        <w:t xml:space="preserve">تقديم تقاريرها التقنية السنوية عن </w:t>
      </w:r>
      <w:r w:rsidR="00202638" w:rsidRPr="00911F3C">
        <w:rPr>
          <w:rFonts w:hint="cs"/>
          <w:rtl/>
        </w:rPr>
        <w:t>عام</w:t>
      </w:r>
      <w:r w:rsidRPr="00911F3C">
        <w:rPr>
          <w:rFonts w:hint="eastAsia"/>
          <w:rtl/>
        </w:rPr>
        <w:t> </w:t>
      </w:r>
      <w:r w:rsidR="00202638" w:rsidRPr="00911F3C">
        <w:rPr>
          <w:rFonts w:hint="cs"/>
          <w:rtl/>
        </w:rPr>
        <w:t>2016.</w:t>
      </w:r>
    </w:p>
    <w:p w:rsidR="00731259" w:rsidRDefault="00731259" w:rsidP="00731259">
      <w:pPr>
        <w:pStyle w:val="DecisionParaAR"/>
        <w:numPr>
          <w:ilvl w:val="0"/>
          <w:numId w:val="0"/>
        </w:numPr>
        <w:spacing w:after="0"/>
        <w:ind w:left="5527"/>
        <w:rPr>
          <w:lang w:val="fr-FR"/>
        </w:rPr>
      </w:pPr>
    </w:p>
    <w:p w:rsidR="00202638" w:rsidRPr="00911F3C" w:rsidRDefault="00202638" w:rsidP="00731259">
      <w:pPr>
        <w:pStyle w:val="DecisionParaAR"/>
        <w:numPr>
          <w:ilvl w:val="0"/>
          <w:numId w:val="0"/>
        </w:numPr>
        <w:spacing w:after="0"/>
        <w:ind w:left="5527"/>
      </w:pPr>
    </w:p>
    <w:p w:rsidR="006B74D3" w:rsidRPr="00911F3C" w:rsidRDefault="006B74D3" w:rsidP="00731259">
      <w:pPr>
        <w:pStyle w:val="EndofDocumentAR"/>
        <w:spacing w:after="0"/>
        <w:rPr>
          <w:lang w:bidi="ar-EG"/>
        </w:rPr>
      </w:pPr>
      <w:r w:rsidRPr="00911F3C">
        <w:rPr>
          <w:rFonts w:hint="cs"/>
          <w:rtl/>
          <w:lang w:bidi="ar-EG"/>
        </w:rPr>
        <w:t>[يلي ذلك المرفق]</w:t>
      </w:r>
    </w:p>
    <w:sectPr w:rsidR="006B74D3" w:rsidRPr="00911F3C" w:rsidSect="00F27A7C"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D1" w:rsidRDefault="00065ED1">
      <w:r>
        <w:separator/>
      </w:r>
    </w:p>
  </w:endnote>
  <w:endnote w:type="continuationSeparator" w:id="0">
    <w:p w:rsidR="00065ED1" w:rsidRDefault="0006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D1" w:rsidRDefault="00065ED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65ED1" w:rsidRDefault="00065ED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2761A" w:rsidP="009454C9">
    <w:r>
      <w:t>CWS</w:t>
    </w:r>
    <w:r w:rsidR="00065ED1">
      <w:t>/</w:t>
    </w:r>
    <w:r>
      <w:t>5</w:t>
    </w:r>
    <w:r w:rsidR="002F77FC">
      <w:t>/</w:t>
    </w:r>
    <w:r w:rsidR="009454C9">
      <w:t>18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31259">
      <w:rPr>
        <w:noProof/>
      </w:rPr>
      <w:t>2</w:t>
    </w:r>
    <w:r>
      <w:rPr>
        <w:noProof/>
      </w:rPr>
      <w:fldChar w:fldCharType="end"/>
    </w:r>
  </w:p>
  <w:p w:rsidR="005677B7" w:rsidRDefault="005677B7" w:rsidP="00D61541"/>
  <w:p w:rsidR="00731259" w:rsidRDefault="00731259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A738CE"/>
    <w:multiLevelType w:val="hybridMultilevel"/>
    <w:tmpl w:val="0296A8BC"/>
    <w:lvl w:ilvl="0" w:tplc="1B828EFC">
      <w:start w:val="1"/>
      <w:numFmt w:val="arabicAlpha"/>
      <w:lvlText w:val="(%1)"/>
      <w:lvlJc w:val="left"/>
      <w:pPr>
        <w:ind w:left="62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6">
    <w:nsid w:val="39B17F70"/>
    <w:multiLevelType w:val="hybridMultilevel"/>
    <w:tmpl w:val="B4B06E30"/>
    <w:lvl w:ilvl="0" w:tplc="39E8F294">
      <w:start w:val="1"/>
      <w:numFmt w:val="arabicAlpha"/>
      <w:lvlText w:val="(%1)"/>
      <w:lvlJc w:val="left"/>
      <w:pPr>
        <w:ind w:left="624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9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4F78B9"/>
    <w:multiLevelType w:val="hybridMultilevel"/>
    <w:tmpl w:val="64883218"/>
    <w:lvl w:ilvl="0" w:tplc="1D34BFB6">
      <w:start w:val="1"/>
      <w:numFmt w:val="arabicAlpha"/>
      <w:lvlText w:val="(%1)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2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2"/>
  </w:num>
  <w:num w:numId="5">
    <w:abstractNumId w:val="8"/>
  </w:num>
  <w:num w:numId="6">
    <w:abstractNumId w:val="23"/>
  </w:num>
  <w:num w:numId="7">
    <w:abstractNumId w:val="14"/>
  </w:num>
  <w:num w:numId="8">
    <w:abstractNumId w:val="20"/>
  </w:num>
  <w:num w:numId="9">
    <w:abstractNumId w:val="19"/>
  </w:num>
  <w:num w:numId="10">
    <w:abstractNumId w:val="24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3"/>
  </w:num>
  <w:num w:numId="23">
    <w:abstractNumId w:val="10"/>
  </w:num>
  <w:num w:numId="24">
    <w:abstractNumId w:val="21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D1"/>
    <w:rsid w:val="00002CBE"/>
    <w:rsid w:val="00003232"/>
    <w:rsid w:val="000033DA"/>
    <w:rsid w:val="0000579F"/>
    <w:rsid w:val="000074D1"/>
    <w:rsid w:val="000076BD"/>
    <w:rsid w:val="00007C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15B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97E93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ADD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04E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449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973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638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9BB"/>
    <w:rsid w:val="00270E72"/>
    <w:rsid w:val="0027167E"/>
    <w:rsid w:val="00271786"/>
    <w:rsid w:val="00271F24"/>
    <w:rsid w:val="00272503"/>
    <w:rsid w:val="00272F3A"/>
    <w:rsid w:val="002736FD"/>
    <w:rsid w:val="00273941"/>
    <w:rsid w:val="00273B6B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5A2"/>
    <w:rsid w:val="00286744"/>
    <w:rsid w:val="002909B9"/>
    <w:rsid w:val="00290A4E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66C0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5C0"/>
    <w:rsid w:val="002E7615"/>
    <w:rsid w:val="002E7A2A"/>
    <w:rsid w:val="002E7F16"/>
    <w:rsid w:val="002F0141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6471"/>
    <w:rsid w:val="00327011"/>
    <w:rsid w:val="00334127"/>
    <w:rsid w:val="00334BDA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F7B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91A"/>
    <w:rsid w:val="003D6B84"/>
    <w:rsid w:val="003E008C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9B5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1BCF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32E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47B6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7258"/>
    <w:rsid w:val="004E1264"/>
    <w:rsid w:val="004E2CBC"/>
    <w:rsid w:val="004E3D30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745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5A9D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751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024"/>
    <w:rsid w:val="005F7353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E55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4D3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15B"/>
    <w:rsid w:val="00705027"/>
    <w:rsid w:val="00710494"/>
    <w:rsid w:val="007117BD"/>
    <w:rsid w:val="0071448F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1259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151D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6D0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08C8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9DE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1F3C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A87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4C9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24A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B77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C14"/>
    <w:rsid w:val="009E1DF8"/>
    <w:rsid w:val="009E224B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794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0E19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3ABF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14F5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5D3E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428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6A3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0399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878CF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0F6A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39E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3FD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898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048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598F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ACE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A7E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6402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4E"/>
    <w:rsid w:val="00F818A5"/>
    <w:rsid w:val="00F8197C"/>
    <w:rsid w:val="00F8465D"/>
    <w:rsid w:val="00F848B3"/>
    <w:rsid w:val="00F85755"/>
    <w:rsid w:val="00F8594A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6F5"/>
    <w:rsid w:val="00FA2C4B"/>
    <w:rsid w:val="00FA4977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172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E7C8F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4B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264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4B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26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ATR/Annual+Technical+Reports+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2283</Characters>
  <Application>Microsoft Office Word</Application>
  <DocSecurity>0</DocSecurity>
  <Lines>152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CWS/5/-- (Arabic)</vt:lpstr>
    </vt:vector>
  </TitlesOfParts>
  <Company>World Intellectual Property Organization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(in Arabic)</dc:title>
  <dc:subject>Report on Annual Technical Reports (ATRs)</dc:subject>
  <dc:creator>WIPO</dc:creator>
  <cp:keywords>CWS</cp:keywords>
  <cp:lastModifiedBy>ZAGO Bétina</cp:lastModifiedBy>
  <cp:revision>4</cp:revision>
  <cp:lastPrinted>2017-05-01T10:34:00Z</cp:lastPrinted>
  <dcterms:created xsi:type="dcterms:W3CDTF">2017-05-03T14:32:00Z</dcterms:created>
  <dcterms:modified xsi:type="dcterms:W3CDTF">2017-05-03T14:34:00Z</dcterms:modified>
</cp:coreProperties>
</file>