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ED17C61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3A23EBFC" wp14:editId="0F20E9CF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F91A68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059D5BC0" w14:textId="4FD5C467" w:rsidR="008B2CC1" w:rsidRPr="002326AB" w:rsidRDefault="00FE5D75" w:rsidP="00250149">
      <w:pPr>
        <w:bidi w:val="0"/>
        <w:rPr>
          <w:rFonts w:ascii="Arial Black" w:hAnsi="Arial Black"/>
          <w:caps/>
          <w:sz w:val="15"/>
          <w:szCs w:val="15"/>
        </w:rPr>
      </w:pPr>
      <w:bookmarkStart w:id="1" w:name="Code"/>
      <w:bookmarkEnd w:id="1"/>
      <w:r w:rsidRPr="00FE5D75">
        <w:rPr>
          <w:rFonts w:ascii="Arial Black" w:hAnsi="Arial Black"/>
          <w:caps/>
          <w:sz w:val="15"/>
          <w:szCs w:val="15"/>
        </w:rPr>
        <w:t>CWS/9/</w:t>
      </w:r>
      <w:r w:rsidR="00650C02">
        <w:rPr>
          <w:rFonts w:ascii="Arial Black" w:hAnsi="Arial Black"/>
          <w:caps/>
          <w:sz w:val="15"/>
          <w:szCs w:val="15"/>
        </w:rPr>
        <w:t>16</w:t>
      </w:r>
    </w:p>
    <w:p w14:paraId="00D5854F" w14:textId="77777777"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262607" w:rsidRPr="00262607">
        <w:rPr>
          <w:rFonts w:asciiTheme="minorHAnsi" w:hAnsiTheme="minorHAnsi"/>
          <w:caps/>
          <w:sz w:val="15"/>
          <w:szCs w:val="15"/>
          <w:rtl/>
        </w:rPr>
        <w:t>بالإنكليزية</w:t>
      </w:r>
    </w:p>
    <w:p w14:paraId="1A67CFCA" w14:textId="77777777" w:rsidR="008B2CC1" w:rsidRPr="00CC3E2D" w:rsidRDefault="00CC3E2D" w:rsidP="00FE132C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2626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FE132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10</w:t>
      </w:r>
      <w:r w:rsidR="002626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FE132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سبتمبر</w:t>
      </w:r>
      <w:r w:rsidR="002626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2021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</w:p>
    <w:bookmarkEnd w:id="3"/>
    <w:p w14:paraId="1B9B32AE" w14:textId="77777777"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14:paraId="2BF40854" w14:textId="77777777" w:rsidR="00A90F0A" w:rsidRPr="00D67EAE" w:rsidRDefault="00D67EAE" w:rsidP="00FE5D7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التاسعة</w:t>
      </w:r>
    </w:p>
    <w:p w14:paraId="4BF048CE" w14:textId="77777777" w:rsidR="008B2CC1" w:rsidRPr="00D67EAE" w:rsidRDefault="00D67EAE" w:rsidP="00FE5D7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2021</w:t>
      </w:r>
    </w:p>
    <w:p w14:paraId="5C25F790" w14:textId="0D3B6E7E" w:rsidR="008B2CC1" w:rsidRPr="00262607" w:rsidRDefault="00650C02" w:rsidP="002D4484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4" w:name="TitleOfDoc"/>
      <w:r>
        <w:rPr>
          <w:rFonts w:asciiTheme="minorHAnsi" w:hAnsiTheme="minorHAnsi" w:hint="cs"/>
          <w:caps/>
          <w:sz w:val="24"/>
          <w:szCs w:val="24"/>
          <w:rtl/>
        </w:rPr>
        <w:t xml:space="preserve">نشر نتائج الجزء </w:t>
      </w:r>
      <w:r w:rsidR="009D3A30">
        <w:rPr>
          <w:rFonts w:asciiTheme="minorHAnsi" w:hAnsiTheme="minorHAnsi" w:hint="cs"/>
          <w:caps/>
          <w:sz w:val="24"/>
          <w:szCs w:val="24"/>
          <w:rtl/>
        </w:rPr>
        <w:t>الثاني</w:t>
      </w:r>
      <w:r>
        <w:rPr>
          <w:rFonts w:asciiTheme="minorHAnsi" w:hAnsiTheme="minorHAnsi" w:hint="cs"/>
          <w:caps/>
          <w:sz w:val="24"/>
          <w:szCs w:val="24"/>
          <w:rtl/>
        </w:rPr>
        <w:t xml:space="preserve"> من الدراسة الاستقصائية </w:t>
      </w:r>
      <w:r w:rsidR="009D3A30">
        <w:rPr>
          <w:rFonts w:asciiTheme="minorHAnsi" w:hAnsiTheme="minorHAnsi" w:hint="cs"/>
          <w:caps/>
          <w:sz w:val="24"/>
          <w:szCs w:val="24"/>
          <w:rtl/>
        </w:rPr>
        <w:t>حول</w:t>
      </w:r>
      <w:r>
        <w:rPr>
          <w:rFonts w:asciiTheme="minorHAnsi" w:hAnsiTheme="minorHAnsi" w:hint="cs"/>
          <w:caps/>
          <w:sz w:val="24"/>
          <w:szCs w:val="24"/>
          <w:rtl/>
        </w:rPr>
        <w:t xml:space="preserve"> نفاذ الجمهور إلى معلومات البراءات</w:t>
      </w:r>
    </w:p>
    <w:p w14:paraId="3797470C" w14:textId="77777777" w:rsidR="002928D3" w:rsidRPr="00FE132C" w:rsidRDefault="00D67EAE" w:rsidP="00E655A0">
      <w:pPr>
        <w:spacing w:after="1040"/>
        <w:rPr>
          <w:rFonts w:asciiTheme="minorHAnsi" w:hAnsiTheme="minorHAnsi" w:cstheme="minorHAnsi"/>
          <w:b/>
          <w:bCs/>
          <w:iCs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262607">
        <w:rPr>
          <w:rFonts w:asciiTheme="minorHAnsi" w:hAnsiTheme="minorHAnsi" w:cstheme="minorHAnsi" w:hint="cs"/>
          <w:iCs/>
          <w:rtl/>
        </w:rPr>
        <w:t xml:space="preserve"> </w:t>
      </w:r>
      <w:r w:rsidR="00E655A0">
        <w:rPr>
          <w:rFonts w:asciiTheme="minorHAnsi" w:hAnsiTheme="minorHAnsi" w:cstheme="minorHAnsi" w:hint="cs"/>
          <w:iCs/>
          <w:rtl/>
        </w:rPr>
        <w:t>المكتب الدولي</w:t>
      </w:r>
    </w:p>
    <w:p w14:paraId="418D7B3D" w14:textId="77777777" w:rsidR="007969D1" w:rsidRPr="00FE132C" w:rsidRDefault="00FE132C" w:rsidP="00FE132C">
      <w:pPr>
        <w:pStyle w:val="Heading2"/>
        <w:rPr>
          <w:i/>
          <w:iCs w:val="0"/>
          <w:lang w:eastAsia="en-US" w:bidi="ar-LB"/>
        </w:rPr>
      </w:pPr>
      <w:r w:rsidRPr="00FE132C">
        <w:rPr>
          <w:rFonts w:hint="cs"/>
          <w:i/>
          <w:iCs w:val="0"/>
          <w:rtl/>
          <w:lang w:eastAsia="en-US"/>
        </w:rPr>
        <w:t>معلومات أساسية</w:t>
      </w:r>
    </w:p>
    <w:p w14:paraId="6BBDB1DE" w14:textId="1905E782" w:rsidR="007969D1" w:rsidRDefault="009D3A30" w:rsidP="00E655A0">
      <w:pPr>
        <w:pStyle w:val="ONUMA"/>
        <w:rPr>
          <w:lang w:bidi="ar-LB"/>
        </w:rPr>
      </w:pPr>
      <w:r>
        <w:rPr>
          <w:rFonts w:hint="cs"/>
          <w:rtl/>
        </w:rPr>
        <w:t>وافقت</w:t>
      </w:r>
      <w:r w:rsidR="00FE132C" w:rsidRPr="00FE132C">
        <w:rPr>
          <w:rtl/>
        </w:rPr>
        <w:t xml:space="preserve"> اللجنة المعنية بمعايير الويبو (لجنة المعايير)، في دورتها </w:t>
      </w:r>
      <w:r w:rsidR="00FE132C">
        <w:rPr>
          <w:rFonts w:hint="cs"/>
          <w:rtl/>
        </w:rPr>
        <w:t>الثامنة</w:t>
      </w:r>
      <w:r w:rsidR="00FE132C" w:rsidRPr="00FE132C">
        <w:rPr>
          <w:rtl/>
        </w:rPr>
        <w:t xml:space="preserve"> التي عٌقدت في </w:t>
      </w:r>
      <w:r w:rsidR="00FE132C">
        <w:rPr>
          <w:rFonts w:hint="cs"/>
          <w:rtl/>
        </w:rPr>
        <w:t>2020</w:t>
      </w:r>
      <w:r>
        <w:rPr>
          <w:rFonts w:hint="cs"/>
          <w:rtl/>
        </w:rPr>
        <w:t xml:space="preserve"> على </w:t>
      </w:r>
      <w:r w:rsidRPr="009D3A30">
        <w:rPr>
          <w:rtl/>
        </w:rPr>
        <w:t xml:space="preserve">نشر نتائج الجزء الأول من الدراسة الاستقصائية حول نفاذ الجمهور إلى معلومات البراءات. كما وافقت لجنة المعايير على الاستبيان المنقح </w:t>
      </w:r>
      <w:r w:rsidR="008A7C37">
        <w:rPr>
          <w:rFonts w:hint="cs"/>
          <w:rtl/>
        </w:rPr>
        <w:t>الخاص با</w:t>
      </w:r>
      <w:r w:rsidRPr="009D3A30">
        <w:rPr>
          <w:rtl/>
        </w:rPr>
        <w:t xml:space="preserve">لجزء الثاني من </w:t>
      </w:r>
      <w:r w:rsidR="008A7C37">
        <w:rPr>
          <w:rFonts w:hint="cs"/>
          <w:rtl/>
        </w:rPr>
        <w:t>الدراسة الاستقصائية</w:t>
      </w:r>
      <w:r w:rsidRPr="009D3A30">
        <w:rPr>
          <w:rtl/>
        </w:rPr>
        <w:t xml:space="preserve"> </w:t>
      </w:r>
      <w:r w:rsidR="00A41FCF">
        <w:rPr>
          <w:rFonts w:hint="cs"/>
          <w:rtl/>
        </w:rPr>
        <w:t>على النحو الذي</w:t>
      </w:r>
      <w:r w:rsidRPr="009D3A30">
        <w:rPr>
          <w:rtl/>
        </w:rPr>
        <w:t xml:space="preserve"> قدم</w:t>
      </w:r>
      <w:r w:rsidR="008A7C37">
        <w:rPr>
          <w:rFonts w:hint="cs"/>
          <w:rtl/>
        </w:rPr>
        <w:t>ته فرقة العمل المعنية</w:t>
      </w:r>
      <w:r w:rsidRPr="009D3A30">
        <w:rPr>
          <w:rtl/>
        </w:rPr>
        <w:t xml:space="preserve"> </w:t>
      </w:r>
      <w:r w:rsidR="008A7C37">
        <w:rPr>
          <w:rFonts w:hint="cs"/>
          <w:rtl/>
        </w:rPr>
        <w:t>ب</w:t>
      </w:r>
      <w:r w:rsidR="008A7C37" w:rsidRPr="008A7C37">
        <w:rPr>
          <w:rtl/>
        </w:rPr>
        <w:t>نفاذ الجمهور إلى معلومات البراءات</w:t>
      </w:r>
      <w:r w:rsidRPr="009D3A30">
        <w:rPr>
          <w:rtl/>
        </w:rPr>
        <w:t xml:space="preserve">. </w:t>
      </w:r>
      <w:r w:rsidR="00E34683">
        <w:rPr>
          <w:rFonts w:hint="cs"/>
          <w:rtl/>
        </w:rPr>
        <w:t>وأ</w:t>
      </w:r>
      <w:r w:rsidR="00A41FCF">
        <w:rPr>
          <w:rFonts w:hint="cs"/>
          <w:rtl/>
        </w:rPr>
        <w:t>ُ</w:t>
      </w:r>
      <w:r w:rsidR="00E34683">
        <w:rPr>
          <w:rFonts w:hint="cs"/>
          <w:rtl/>
        </w:rPr>
        <w:t>ضيف</w:t>
      </w:r>
      <w:r w:rsidRPr="009D3A30">
        <w:rPr>
          <w:rtl/>
        </w:rPr>
        <w:t xml:space="preserve"> سؤال </w:t>
      </w:r>
      <w:r w:rsidR="00E34683">
        <w:rPr>
          <w:rFonts w:hint="cs"/>
          <w:rtl/>
        </w:rPr>
        <w:t>آخر</w:t>
      </w:r>
      <w:r w:rsidRPr="009D3A30">
        <w:rPr>
          <w:rtl/>
        </w:rPr>
        <w:t xml:space="preserve"> </w:t>
      </w:r>
      <w:r w:rsidR="00A41FCF">
        <w:rPr>
          <w:rFonts w:hint="cs"/>
          <w:rtl/>
        </w:rPr>
        <w:t>إ</w:t>
      </w:r>
      <w:r w:rsidR="00E34683">
        <w:rPr>
          <w:rFonts w:hint="cs"/>
          <w:rtl/>
        </w:rPr>
        <w:t>لى الدراسة</w:t>
      </w:r>
      <w:r w:rsidRPr="009D3A30">
        <w:rPr>
          <w:rtl/>
        </w:rPr>
        <w:t xml:space="preserve"> </w:t>
      </w:r>
      <w:r w:rsidR="000E52DA">
        <w:rPr>
          <w:rFonts w:hint="cs"/>
          <w:rtl/>
        </w:rPr>
        <w:t xml:space="preserve">الاستقصائية </w:t>
      </w:r>
      <w:r w:rsidRPr="009D3A30">
        <w:rPr>
          <w:rtl/>
        </w:rPr>
        <w:t xml:space="preserve">خلال </w:t>
      </w:r>
      <w:r w:rsidR="00E34683">
        <w:rPr>
          <w:rFonts w:hint="cs"/>
          <w:rtl/>
        </w:rPr>
        <w:t>الدورة الثامنة للجنة المعايير</w:t>
      </w:r>
      <w:r w:rsidRPr="009D3A30">
        <w:rPr>
          <w:rtl/>
        </w:rPr>
        <w:t xml:space="preserve">. </w:t>
      </w:r>
      <w:r w:rsidR="00E34683">
        <w:rPr>
          <w:rFonts w:hint="cs"/>
          <w:rtl/>
        </w:rPr>
        <w:t>و</w:t>
      </w:r>
      <w:r w:rsidRPr="009D3A30">
        <w:rPr>
          <w:rtl/>
        </w:rPr>
        <w:t xml:space="preserve">طلبت </w:t>
      </w:r>
      <w:r w:rsidR="00E34683">
        <w:rPr>
          <w:rFonts w:hint="cs"/>
          <w:rtl/>
        </w:rPr>
        <w:t xml:space="preserve">لجنة </w:t>
      </w:r>
      <w:r w:rsidR="000E52DA">
        <w:rPr>
          <w:rFonts w:hint="cs"/>
          <w:rtl/>
        </w:rPr>
        <w:t>المعايير</w:t>
      </w:r>
      <w:r w:rsidRPr="009D3A30">
        <w:rPr>
          <w:rtl/>
        </w:rPr>
        <w:t xml:space="preserve"> من الأمانة إصدار تعميم يدعو مكاتب الملكية الفكرية للمشاركة في الجزء </w:t>
      </w:r>
      <w:r w:rsidR="00E34683">
        <w:rPr>
          <w:rFonts w:hint="cs"/>
          <w:rtl/>
        </w:rPr>
        <w:t>الثاني</w:t>
      </w:r>
      <w:r w:rsidRPr="009D3A30">
        <w:rPr>
          <w:rtl/>
        </w:rPr>
        <w:t xml:space="preserve"> من الدراسة الاستقصائية. (انظر الفقرات من 70 إلى 72 ومن 122 إلى 125 من الوثيقة </w:t>
      </w:r>
      <w:r w:rsidR="00E34683" w:rsidRPr="00E34683">
        <w:t>CWS/8/24</w:t>
      </w:r>
      <w:r w:rsidR="00E34683">
        <w:rPr>
          <w:rFonts w:hint="cs"/>
          <w:rtl/>
        </w:rPr>
        <w:t>).</w:t>
      </w:r>
    </w:p>
    <w:p w14:paraId="675D8243" w14:textId="54106A89" w:rsidR="00206593" w:rsidRPr="00C74BB4" w:rsidRDefault="00C02F04" w:rsidP="00C74BB4">
      <w:pPr>
        <w:pStyle w:val="Heading2"/>
        <w:rPr>
          <w:i/>
          <w:iCs w:val="0"/>
          <w:rtl/>
          <w:lang w:eastAsia="en-US"/>
        </w:rPr>
      </w:pPr>
      <w:r w:rsidRPr="00C02F04">
        <w:rPr>
          <w:i/>
          <w:iCs w:val="0"/>
          <w:rtl/>
          <w:lang w:eastAsia="en-US"/>
        </w:rPr>
        <w:t>نتائج الدراسة الاستقصائية</w:t>
      </w:r>
    </w:p>
    <w:p w14:paraId="25C6A087" w14:textId="4C5FFD4E" w:rsidR="005E723C" w:rsidRDefault="00672C45" w:rsidP="005E723C">
      <w:pPr>
        <w:pStyle w:val="ONUMA"/>
      </w:pPr>
      <w:r>
        <w:rPr>
          <w:rtl/>
        </w:rPr>
        <w:t xml:space="preserve">أصدرت الأمانة </w:t>
      </w:r>
      <w:r w:rsidR="005E723C">
        <w:rPr>
          <w:rtl/>
        </w:rPr>
        <w:t xml:space="preserve">في مايو 2021 التعميم </w:t>
      </w:r>
      <w:r w:rsidR="005E723C">
        <w:t>C.CWS.146</w:t>
      </w:r>
      <w:r w:rsidR="005E723C">
        <w:rPr>
          <w:rtl/>
        </w:rPr>
        <w:t xml:space="preserve"> </w:t>
      </w:r>
      <w:r>
        <w:rPr>
          <w:rFonts w:hint="cs"/>
          <w:rtl/>
        </w:rPr>
        <w:t>تدعو فيه</w:t>
      </w:r>
      <w:r w:rsidR="005E723C">
        <w:rPr>
          <w:rtl/>
        </w:rPr>
        <w:t xml:space="preserve"> مكاتب الملكية الفكرية للمشاركة في الجزء </w:t>
      </w:r>
      <w:r>
        <w:rPr>
          <w:rFonts w:hint="cs"/>
          <w:rtl/>
        </w:rPr>
        <w:t>الثاني</w:t>
      </w:r>
      <w:r w:rsidR="005E723C">
        <w:rPr>
          <w:rtl/>
        </w:rPr>
        <w:t xml:space="preserve"> من </w:t>
      </w:r>
      <w:r w:rsidRPr="00672C45">
        <w:rPr>
          <w:rtl/>
        </w:rPr>
        <w:t>الدراسة الاستقصائية حول نفاذ الجمهور إلى معلومات البراءات</w:t>
      </w:r>
      <w:r w:rsidR="005E723C">
        <w:rPr>
          <w:rtl/>
        </w:rPr>
        <w:t xml:space="preserve">. </w:t>
      </w:r>
      <w:r w:rsidR="00390119">
        <w:rPr>
          <w:rFonts w:hint="cs"/>
          <w:rtl/>
        </w:rPr>
        <w:t>و</w:t>
      </w:r>
      <w:r w:rsidR="005E723C">
        <w:rPr>
          <w:rtl/>
        </w:rPr>
        <w:t xml:space="preserve">تم استلام الردود حتى أغسطس 2021. </w:t>
      </w:r>
      <w:r w:rsidR="00707BB4">
        <w:rPr>
          <w:rFonts w:hint="cs"/>
          <w:rtl/>
        </w:rPr>
        <w:t>و</w:t>
      </w:r>
      <w:r w:rsidR="005E723C">
        <w:rPr>
          <w:rtl/>
        </w:rPr>
        <w:t xml:space="preserve">أثناء إصدار </w:t>
      </w:r>
      <w:r w:rsidR="00707BB4" w:rsidRPr="00707BB4">
        <w:rPr>
          <w:rtl/>
        </w:rPr>
        <w:t>الدراسة الاستقصائية</w:t>
      </w:r>
      <w:r w:rsidR="005E723C">
        <w:rPr>
          <w:rtl/>
        </w:rPr>
        <w:t xml:space="preserve">، </w:t>
      </w:r>
      <w:r w:rsidR="00707BB4">
        <w:rPr>
          <w:rFonts w:hint="cs"/>
          <w:rtl/>
        </w:rPr>
        <w:t>حُذف</w:t>
      </w:r>
      <w:r w:rsidR="005E723C">
        <w:rPr>
          <w:rtl/>
        </w:rPr>
        <w:t xml:space="preserve"> السؤال الجديد الذي تمت إضافته خلال </w:t>
      </w:r>
      <w:r w:rsidR="00707BB4">
        <w:rPr>
          <w:rFonts w:hint="cs"/>
          <w:rtl/>
        </w:rPr>
        <w:t>الدورة الثامنة للجنة المعايير</w:t>
      </w:r>
      <w:r w:rsidR="005E723C">
        <w:rPr>
          <w:rtl/>
        </w:rPr>
        <w:t xml:space="preserve"> عن غير قصد من الاستبيان الصادر. </w:t>
      </w:r>
      <w:r w:rsidR="00707BB4">
        <w:rPr>
          <w:rFonts w:hint="cs"/>
          <w:rtl/>
        </w:rPr>
        <w:t>و</w:t>
      </w:r>
      <w:r w:rsidR="005E723C">
        <w:rPr>
          <w:rtl/>
        </w:rPr>
        <w:t xml:space="preserve">نظرًا لأن منصة </w:t>
      </w:r>
      <w:r w:rsidR="00707BB4" w:rsidRPr="00707BB4">
        <w:rPr>
          <w:rtl/>
        </w:rPr>
        <w:t xml:space="preserve">الدراسة الاستقصائية </w:t>
      </w:r>
      <w:r w:rsidR="005E723C">
        <w:rPr>
          <w:rtl/>
        </w:rPr>
        <w:t>لا تسمح بإجراء تعديلات عل</w:t>
      </w:r>
      <w:r w:rsidR="00707BB4">
        <w:rPr>
          <w:rFonts w:hint="cs"/>
          <w:rtl/>
        </w:rPr>
        <w:t>يها مباشرة</w:t>
      </w:r>
      <w:r w:rsidR="005E723C">
        <w:rPr>
          <w:rtl/>
        </w:rPr>
        <w:t xml:space="preserve">، فقد قرر المكتب الدولي إصدار </w:t>
      </w:r>
      <w:r w:rsidR="00436F2D" w:rsidRPr="00436F2D">
        <w:rPr>
          <w:rtl/>
        </w:rPr>
        <w:t xml:space="preserve">دراسة استقصائية </w:t>
      </w:r>
      <w:r w:rsidR="005E723C">
        <w:rPr>
          <w:rtl/>
        </w:rPr>
        <w:t>تكميلي</w:t>
      </w:r>
      <w:r w:rsidR="00436F2D">
        <w:rPr>
          <w:rFonts w:hint="cs"/>
          <w:rtl/>
        </w:rPr>
        <w:t>ة</w:t>
      </w:r>
      <w:r w:rsidR="005E723C">
        <w:rPr>
          <w:rtl/>
        </w:rPr>
        <w:t xml:space="preserve"> منفصل</w:t>
      </w:r>
      <w:r w:rsidR="00436F2D">
        <w:rPr>
          <w:rFonts w:hint="cs"/>
          <w:rtl/>
        </w:rPr>
        <w:t>ة</w:t>
      </w:r>
      <w:r w:rsidR="005E723C">
        <w:rPr>
          <w:rtl/>
        </w:rPr>
        <w:t xml:space="preserve"> </w:t>
      </w:r>
      <w:r w:rsidR="00436F2D">
        <w:rPr>
          <w:rFonts w:hint="cs"/>
          <w:rtl/>
        </w:rPr>
        <w:t>تضم</w:t>
      </w:r>
      <w:r w:rsidR="005E723C">
        <w:rPr>
          <w:rtl/>
        </w:rPr>
        <w:t xml:space="preserve"> فقط السؤال المحذوف. </w:t>
      </w:r>
      <w:r w:rsidR="004E7145">
        <w:rPr>
          <w:rFonts w:hint="cs"/>
          <w:rtl/>
        </w:rPr>
        <w:t>و</w:t>
      </w:r>
      <w:r w:rsidR="005E723C">
        <w:rPr>
          <w:rtl/>
        </w:rPr>
        <w:t xml:space="preserve">طُلب من </w:t>
      </w:r>
      <w:r w:rsidR="004E7145">
        <w:rPr>
          <w:rFonts w:hint="cs"/>
          <w:rtl/>
        </w:rPr>
        <w:t>المستجوَبين</w:t>
      </w:r>
      <w:r w:rsidR="005E723C">
        <w:rPr>
          <w:rtl/>
        </w:rPr>
        <w:t xml:space="preserve"> الذين </w:t>
      </w:r>
      <w:r w:rsidR="004E7145">
        <w:rPr>
          <w:rFonts w:hint="cs"/>
          <w:rtl/>
        </w:rPr>
        <w:t>ردوا</w:t>
      </w:r>
      <w:r w:rsidR="005E723C">
        <w:rPr>
          <w:rtl/>
        </w:rPr>
        <w:t xml:space="preserve"> </w:t>
      </w:r>
      <w:r w:rsidR="004E7145">
        <w:rPr>
          <w:rFonts w:hint="cs"/>
          <w:rtl/>
        </w:rPr>
        <w:t xml:space="preserve">على الجزء الثاني من </w:t>
      </w:r>
      <w:r w:rsidR="004E7145" w:rsidRPr="00672C45">
        <w:rPr>
          <w:rtl/>
        </w:rPr>
        <w:t>الدراسة الاستقصائية</w:t>
      </w:r>
      <w:r w:rsidR="004E7145">
        <w:rPr>
          <w:rtl/>
        </w:rPr>
        <w:t xml:space="preserve"> </w:t>
      </w:r>
      <w:r w:rsidR="005E723C">
        <w:rPr>
          <w:rtl/>
        </w:rPr>
        <w:t>الرئيسي</w:t>
      </w:r>
      <w:r w:rsidR="004E7145">
        <w:rPr>
          <w:rFonts w:hint="cs"/>
          <w:rtl/>
        </w:rPr>
        <w:t>ة</w:t>
      </w:r>
      <w:r w:rsidR="005E723C">
        <w:rPr>
          <w:rtl/>
        </w:rPr>
        <w:t xml:space="preserve"> </w:t>
      </w:r>
      <w:r w:rsidR="004E7145">
        <w:rPr>
          <w:rFonts w:hint="cs"/>
          <w:rtl/>
        </w:rPr>
        <w:t>الرد</w:t>
      </w:r>
      <w:r w:rsidR="005E723C">
        <w:rPr>
          <w:rtl/>
        </w:rPr>
        <w:t xml:space="preserve"> أيضًا على </w:t>
      </w:r>
      <w:r w:rsidR="004E7145">
        <w:rPr>
          <w:rFonts w:hint="cs"/>
          <w:rtl/>
        </w:rPr>
        <w:t>ال</w:t>
      </w:r>
      <w:r w:rsidR="004E7145" w:rsidRPr="004E7145">
        <w:rPr>
          <w:rtl/>
        </w:rPr>
        <w:t>دراسة ا</w:t>
      </w:r>
      <w:r w:rsidR="004E7145">
        <w:rPr>
          <w:rFonts w:hint="cs"/>
          <w:rtl/>
        </w:rPr>
        <w:t>لا</w:t>
      </w:r>
      <w:r w:rsidR="004E7145" w:rsidRPr="004E7145">
        <w:rPr>
          <w:rtl/>
        </w:rPr>
        <w:t xml:space="preserve">ستقصائية </w:t>
      </w:r>
      <w:r w:rsidR="004E7145">
        <w:rPr>
          <w:rFonts w:hint="cs"/>
          <w:rtl/>
        </w:rPr>
        <w:t>ال</w:t>
      </w:r>
      <w:r w:rsidR="004E7145" w:rsidRPr="004E7145">
        <w:rPr>
          <w:rtl/>
        </w:rPr>
        <w:t>تكميلية</w:t>
      </w:r>
      <w:r w:rsidR="005E723C">
        <w:rPr>
          <w:rtl/>
        </w:rPr>
        <w:t>.</w:t>
      </w:r>
    </w:p>
    <w:p w14:paraId="50091F31" w14:textId="4BD82A06" w:rsidR="005E723C" w:rsidRDefault="00390119" w:rsidP="00390119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حلل المكتب الدولي، بصفته الجهة المشرفة على فرقة العمل، الردود </w:t>
      </w:r>
      <w:r>
        <w:rPr>
          <w:rFonts w:hint="cs"/>
          <w:rtl/>
        </w:rPr>
        <w:t>ونشر النتائج على صفحة الويكي الخاصة بفرقة العمل المعنية بنفاذ الجمهور إلى معلومات البراءات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وقدمت فرقة العمل التقرير التالي لتنظر فيه لجنة المعايير.</w:t>
      </w:r>
      <w:r>
        <w:rPr>
          <w:rFonts w:hint="cs"/>
          <w:rtl/>
        </w:rPr>
        <w:t xml:space="preserve"> </w:t>
      </w:r>
      <w:r>
        <w:rPr>
          <w:rtl/>
        </w:rPr>
        <w:t xml:space="preserve">ويمكن الاطلاع على الردود على الدراسة الاستقصائية على الرابط </w:t>
      </w:r>
      <w:hyperlink r:id="rId12" w:history="1">
        <w:r w:rsidRPr="00CA7E08">
          <w:rPr>
            <w:rStyle w:val="Hyperlink"/>
          </w:rPr>
          <w:t>https://www.wipo.int/edocs/mdocs/cws/en/cws_9/cws_9_item_16.zip</w:t>
        </w:r>
      </w:hyperlink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وطلبت فرقة العمل من لجنة المعايير أن توافق على نشر نتائج الدراسة الاستقصائية</w:t>
      </w:r>
      <w:r>
        <w:rPr>
          <w:rFonts w:hint="cs"/>
          <w:rtl/>
        </w:rPr>
        <w:t xml:space="preserve"> في</w:t>
      </w:r>
      <w:r>
        <w:rPr>
          <w:rtl/>
        </w:rPr>
        <w:t xml:space="preserve"> </w:t>
      </w:r>
      <w:r w:rsidRPr="00390119">
        <w:rPr>
          <w:rtl/>
        </w:rPr>
        <w:t xml:space="preserve">الجزء 7 من دليل الويبو بشأن </w:t>
      </w:r>
      <w:r w:rsidR="00D7681B">
        <w:rPr>
          <w:rFonts w:hint="cs"/>
          <w:rtl/>
        </w:rPr>
        <w:t>ال</w:t>
      </w:r>
      <w:r w:rsidRPr="00390119">
        <w:rPr>
          <w:rtl/>
        </w:rPr>
        <w:t xml:space="preserve">معلومات </w:t>
      </w:r>
      <w:r w:rsidR="00D7681B">
        <w:rPr>
          <w:rFonts w:hint="cs"/>
          <w:rtl/>
        </w:rPr>
        <w:t>والوثائق المتعلقة</w:t>
      </w:r>
      <w:r w:rsidRPr="00390119">
        <w:rPr>
          <w:rtl/>
        </w:rPr>
        <w:t xml:space="preserve"> </w:t>
      </w:r>
      <w:r w:rsidR="00D7681B">
        <w:rPr>
          <w:rFonts w:hint="cs"/>
          <w:rtl/>
        </w:rPr>
        <w:t>ب</w:t>
      </w:r>
      <w:r w:rsidRPr="00390119">
        <w:rPr>
          <w:rtl/>
        </w:rPr>
        <w:t>الملكية الصناعية</w:t>
      </w:r>
      <w:r>
        <w:rPr>
          <w:rFonts w:hint="cs"/>
          <w:rtl/>
        </w:rPr>
        <w:t>.</w:t>
      </w:r>
    </w:p>
    <w:p w14:paraId="08FE6938" w14:textId="77777777" w:rsidR="005E723C" w:rsidRPr="005E723C" w:rsidRDefault="005E723C" w:rsidP="005E723C">
      <w:pPr>
        <w:pStyle w:val="Heading2"/>
        <w:rPr>
          <w:i/>
          <w:iCs w:val="0"/>
          <w:lang w:eastAsia="en-US"/>
        </w:rPr>
      </w:pPr>
      <w:r w:rsidRPr="005E723C">
        <w:rPr>
          <w:i/>
          <w:iCs w:val="0"/>
          <w:rtl/>
          <w:lang w:eastAsia="en-US"/>
        </w:rPr>
        <w:lastRenderedPageBreak/>
        <w:t>التحليلات</w:t>
      </w:r>
    </w:p>
    <w:p w14:paraId="23172D03" w14:textId="5840A410" w:rsidR="005E723C" w:rsidRDefault="005E723C" w:rsidP="005E723C">
      <w:pPr>
        <w:pStyle w:val="ONUMA"/>
      </w:pPr>
      <w:r>
        <w:rPr>
          <w:rtl/>
        </w:rPr>
        <w:t xml:space="preserve">وردت </w:t>
      </w:r>
      <w:r w:rsidR="00BB571E">
        <w:rPr>
          <w:rFonts w:hint="cs"/>
          <w:rtl/>
        </w:rPr>
        <w:t>ال</w:t>
      </w:r>
      <w:r>
        <w:rPr>
          <w:rtl/>
        </w:rPr>
        <w:t xml:space="preserve">ردود </w:t>
      </w:r>
      <w:r w:rsidR="00BB571E">
        <w:rPr>
          <w:rFonts w:hint="cs"/>
          <w:rtl/>
        </w:rPr>
        <w:t xml:space="preserve">على الدراسة الاستقصائية </w:t>
      </w:r>
      <w:r>
        <w:rPr>
          <w:rtl/>
        </w:rPr>
        <w:t>من 36 مكتبا</w:t>
      </w:r>
      <w:r w:rsidR="00BB571E">
        <w:rPr>
          <w:rFonts w:hint="cs"/>
          <w:rtl/>
        </w:rPr>
        <w:t xml:space="preserve"> للملكية الفكرية</w:t>
      </w:r>
      <w:r>
        <w:rPr>
          <w:rtl/>
        </w:rPr>
        <w:t xml:space="preserve">: </w:t>
      </w:r>
      <w:r w:rsidR="00AF4F00">
        <w:rPr>
          <w:rFonts w:hint="cs"/>
          <w:rtl/>
        </w:rPr>
        <w:t>أ</w:t>
      </w:r>
      <w:r>
        <w:rPr>
          <w:rtl/>
        </w:rPr>
        <w:t>ستراليا</w:t>
      </w:r>
      <w:r w:rsidR="00D50A16">
        <w:rPr>
          <w:rtl/>
        </w:rPr>
        <w:t xml:space="preserve"> </w:t>
      </w:r>
      <w:r w:rsidR="00D50A16">
        <w:rPr>
          <w:rFonts w:hint="cs"/>
          <w:rtl/>
        </w:rPr>
        <w:t>والنمسا وأذربيجان والبحرين والبرازيل وكولومبيا وكوت</w:t>
      </w:r>
      <w:r>
        <w:rPr>
          <w:rtl/>
        </w:rPr>
        <w:t xml:space="preserve"> ديفوار</w:t>
      </w:r>
      <w:r w:rsidR="00D50A16">
        <w:rPr>
          <w:rtl/>
        </w:rPr>
        <w:t xml:space="preserve"> </w:t>
      </w:r>
      <w:r w:rsidR="00D50A16">
        <w:rPr>
          <w:rFonts w:hint="cs"/>
          <w:rtl/>
        </w:rPr>
        <w:t>وإكوادور و</w:t>
      </w:r>
      <w:r w:rsidR="00AF4F00">
        <w:rPr>
          <w:rFonts w:hint="cs"/>
          <w:rtl/>
        </w:rPr>
        <w:t>إ</w:t>
      </w:r>
      <w:r w:rsidR="00D50A16">
        <w:rPr>
          <w:rFonts w:hint="cs"/>
          <w:rtl/>
        </w:rPr>
        <w:t>ستونيا وفنلندا وجورجيا</w:t>
      </w:r>
      <w:r>
        <w:rPr>
          <w:rtl/>
        </w:rPr>
        <w:t xml:space="preserve"> </w:t>
      </w:r>
      <w:r w:rsidR="00D50A16">
        <w:rPr>
          <w:rFonts w:hint="cs"/>
          <w:rtl/>
        </w:rPr>
        <w:t>وألمانيا وهنغاريا وإسرائيل وإيطاليا واليابان وليتوانيا</w:t>
      </w:r>
      <w:r w:rsidR="00AF4F00">
        <w:rPr>
          <w:rFonts w:hint="cs"/>
          <w:rtl/>
        </w:rPr>
        <w:t xml:space="preserve"> و</w:t>
      </w:r>
      <w:r>
        <w:rPr>
          <w:rtl/>
        </w:rPr>
        <w:t xml:space="preserve">المكسيك </w:t>
      </w:r>
      <w:r w:rsidR="00D50A16">
        <w:rPr>
          <w:rFonts w:hint="cs"/>
          <w:rtl/>
        </w:rPr>
        <w:t>والنرويج وبنما</w:t>
      </w:r>
      <w:r>
        <w:rPr>
          <w:rtl/>
        </w:rPr>
        <w:t xml:space="preserve"> </w:t>
      </w:r>
      <w:r w:rsidR="00D50A16">
        <w:rPr>
          <w:rtl/>
        </w:rPr>
        <w:t>و</w:t>
      </w:r>
      <w:r>
        <w:rPr>
          <w:rtl/>
        </w:rPr>
        <w:t xml:space="preserve">بابوا غينيا الجديدة </w:t>
      </w:r>
      <w:r w:rsidR="00AF4F00">
        <w:rPr>
          <w:rFonts w:hint="cs"/>
          <w:rtl/>
        </w:rPr>
        <w:t>والفليبين</w:t>
      </w:r>
      <w:r w:rsidR="00D50A16">
        <w:rPr>
          <w:rFonts w:hint="cs"/>
          <w:rtl/>
        </w:rPr>
        <w:t xml:space="preserve"> وبولندا والبرتغال</w:t>
      </w:r>
      <w:r w:rsidR="00D50A16">
        <w:rPr>
          <w:rtl/>
        </w:rPr>
        <w:t xml:space="preserve"> و</w:t>
      </w:r>
      <w:r>
        <w:rPr>
          <w:rtl/>
        </w:rPr>
        <w:t>جمهورية كوريا</w:t>
      </w:r>
      <w:r w:rsidR="00D50A16">
        <w:rPr>
          <w:rtl/>
        </w:rPr>
        <w:t xml:space="preserve"> و</w:t>
      </w:r>
      <w:r>
        <w:rPr>
          <w:rtl/>
        </w:rPr>
        <w:t>جمهورية مولدوفا</w:t>
      </w:r>
      <w:r w:rsidR="00D50A16">
        <w:rPr>
          <w:rtl/>
        </w:rPr>
        <w:t xml:space="preserve"> و</w:t>
      </w:r>
      <w:r>
        <w:rPr>
          <w:rtl/>
        </w:rPr>
        <w:t>الاتحاد الروسي</w:t>
      </w:r>
      <w:r w:rsidR="00D50A16">
        <w:rPr>
          <w:rtl/>
        </w:rPr>
        <w:t xml:space="preserve"> و</w:t>
      </w:r>
      <w:r>
        <w:rPr>
          <w:rtl/>
        </w:rPr>
        <w:t>سان مارين</w:t>
      </w:r>
      <w:r w:rsidR="00AF4F00">
        <w:rPr>
          <w:rFonts w:hint="cs"/>
          <w:rtl/>
        </w:rPr>
        <w:t>و</w:t>
      </w:r>
      <w:r w:rsidR="00D50A16">
        <w:rPr>
          <w:rtl/>
        </w:rPr>
        <w:t xml:space="preserve"> و</w:t>
      </w:r>
      <w:r>
        <w:rPr>
          <w:rtl/>
        </w:rPr>
        <w:t xml:space="preserve">سلوفاكيا </w:t>
      </w:r>
      <w:r w:rsidR="00D50A16">
        <w:rPr>
          <w:rtl/>
        </w:rPr>
        <w:t>و</w:t>
      </w:r>
      <w:r>
        <w:rPr>
          <w:rtl/>
        </w:rPr>
        <w:t>سلوفينيا</w:t>
      </w:r>
      <w:r w:rsidR="00AF4F00">
        <w:rPr>
          <w:rFonts w:hint="cs"/>
          <w:rtl/>
        </w:rPr>
        <w:t xml:space="preserve"> و</w:t>
      </w:r>
      <w:r w:rsidR="00D50A16">
        <w:rPr>
          <w:rFonts w:hint="cs"/>
          <w:rtl/>
        </w:rPr>
        <w:t>السويد وأوكرانيا</w:t>
      </w:r>
      <w:r>
        <w:rPr>
          <w:rtl/>
        </w:rPr>
        <w:t xml:space="preserve"> </w:t>
      </w:r>
      <w:r w:rsidR="00D50A16">
        <w:rPr>
          <w:rtl/>
        </w:rPr>
        <w:t>و</w:t>
      </w:r>
      <w:r>
        <w:rPr>
          <w:rtl/>
        </w:rPr>
        <w:t>المملكة المتحدة</w:t>
      </w:r>
      <w:r w:rsidR="00D50A16">
        <w:rPr>
          <w:rtl/>
        </w:rPr>
        <w:t xml:space="preserve"> و</w:t>
      </w:r>
      <w:r>
        <w:rPr>
          <w:rtl/>
        </w:rPr>
        <w:t>الولايات المتحدة الأمريكية</w:t>
      </w:r>
      <w:r w:rsidR="00D50A16">
        <w:rPr>
          <w:rtl/>
        </w:rPr>
        <w:t xml:space="preserve"> و</w:t>
      </w:r>
      <w:r>
        <w:rPr>
          <w:rtl/>
        </w:rPr>
        <w:t>أوروغواي</w:t>
      </w:r>
      <w:r w:rsidR="00D50A16">
        <w:rPr>
          <w:rFonts w:hint="cs"/>
          <w:rtl/>
        </w:rPr>
        <w:t xml:space="preserve"> </w:t>
      </w:r>
      <w:r>
        <w:rPr>
          <w:rtl/>
        </w:rPr>
        <w:t>والمكتب الأوروبي للبراءات</w:t>
      </w:r>
      <w:r w:rsidR="00D50A16">
        <w:rPr>
          <w:rFonts w:hint="cs"/>
          <w:rtl/>
        </w:rPr>
        <w:t>.</w:t>
      </w:r>
    </w:p>
    <w:p w14:paraId="4B269140" w14:textId="5CE82107" w:rsidR="005E723C" w:rsidRDefault="009D2E78" w:rsidP="005E723C">
      <w:pPr>
        <w:pStyle w:val="ONUMA"/>
      </w:pPr>
      <w:r>
        <w:rPr>
          <w:rFonts w:hint="cs"/>
          <w:rtl/>
        </w:rPr>
        <w:t>و</w:t>
      </w:r>
      <w:r w:rsidR="005E723C">
        <w:rPr>
          <w:rtl/>
        </w:rPr>
        <w:t xml:space="preserve">أشار معظم </w:t>
      </w:r>
      <w:r>
        <w:rPr>
          <w:rFonts w:hint="cs"/>
          <w:rtl/>
        </w:rPr>
        <w:t>المستجوَبين</w:t>
      </w:r>
      <w:r w:rsidR="005E723C">
        <w:rPr>
          <w:rtl/>
        </w:rPr>
        <w:t xml:space="preserve"> (28) إلى عدم </w:t>
      </w:r>
      <w:r w:rsidR="00B5767A">
        <w:rPr>
          <w:rFonts w:hint="cs"/>
          <w:rtl/>
        </w:rPr>
        <w:t>فرض</w:t>
      </w:r>
      <w:r w:rsidR="005E723C">
        <w:rPr>
          <w:rtl/>
        </w:rPr>
        <w:t xml:space="preserve"> رسوم </w:t>
      </w:r>
      <w:r>
        <w:rPr>
          <w:rFonts w:hint="cs"/>
          <w:rtl/>
        </w:rPr>
        <w:t>للنفاذ</w:t>
      </w:r>
      <w:r w:rsidR="005E723C">
        <w:rPr>
          <w:rtl/>
        </w:rPr>
        <w:t xml:space="preserve"> إلى معلومات البراءات. </w:t>
      </w:r>
      <w:r w:rsidR="006D4F94">
        <w:rPr>
          <w:rFonts w:hint="cs"/>
          <w:rtl/>
        </w:rPr>
        <w:t>و</w:t>
      </w:r>
      <w:r w:rsidR="005E723C">
        <w:rPr>
          <w:rtl/>
        </w:rPr>
        <w:t xml:space="preserve">أشار أكثر من نصف المشاركين (19) إلى أن </w:t>
      </w:r>
      <w:r w:rsidR="006D4F94">
        <w:rPr>
          <w:rFonts w:hint="cs"/>
          <w:rtl/>
        </w:rPr>
        <w:t>ال</w:t>
      </w:r>
      <w:r w:rsidR="005E723C">
        <w:rPr>
          <w:rtl/>
        </w:rPr>
        <w:t xml:space="preserve">واجهات </w:t>
      </w:r>
      <w:r w:rsidR="006D4F94">
        <w:rPr>
          <w:rFonts w:hint="cs"/>
          <w:rtl/>
        </w:rPr>
        <w:t>الإلكترونية</w:t>
      </w:r>
      <w:r w:rsidR="005E723C">
        <w:rPr>
          <w:rtl/>
        </w:rPr>
        <w:t xml:space="preserve"> متاحة باللغة الإن</w:t>
      </w:r>
      <w:r w:rsidR="006D4F94">
        <w:rPr>
          <w:rFonts w:hint="cs"/>
          <w:rtl/>
        </w:rPr>
        <w:t>ك</w:t>
      </w:r>
      <w:r w:rsidR="005E723C">
        <w:rPr>
          <w:rtl/>
        </w:rPr>
        <w:t xml:space="preserve">ليزية. </w:t>
      </w:r>
      <w:r w:rsidR="006D4F94">
        <w:rPr>
          <w:rFonts w:hint="cs"/>
          <w:rtl/>
        </w:rPr>
        <w:t>ويتيح</w:t>
      </w:r>
      <w:r w:rsidR="005E723C">
        <w:rPr>
          <w:rtl/>
        </w:rPr>
        <w:t xml:space="preserve"> أقل من نصف المكاتب </w:t>
      </w:r>
      <w:r w:rsidR="006D4F94">
        <w:rPr>
          <w:rFonts w:hint="cs"/>
          <w:rtl/>
        </w:rPr>
        <w:t>وثائق</w:t>
      </w:r>
      <w:r w:rsidR="005E723C">
        <w:rPr>
          <w:rtl/>
        </w:rPr>
        <w:t xml:space="preserve"> قابلة للتنزيل </w:t>
      </w:r>
      <w:r w:rsidR="006D4F94">
        <w:rPr>
          <w:rFonts w:hint="cs"/>
          <w:rtl/>
        </w:rPr>
        <w:t>بأنساق</w:t>
      </w:r>
      <w:r w:rsidR="005E723C">
        <w:rPr>
          <w:rtl/>
        </w:rPr>
        <w:t xml:space="preserve"> نصية قابلة للبحث (مثل نص عادي و</w:t>
      </w:r>
      <w:r w:rsidR="005E723C">
        <w:t>HTML</w:t>
      </w:r>
      <w:r w:rsidR="005E723C">
        <w:rPr>
          <w:rtl/>
        </w:rPr>
        <w:t xml:space="preserve"> و</w:t>
      </w:r>
      <w:r w:rsidR="005E723C">
        <w:t>XML</w:t>
      </w:r>
      <w:r w:rsidR="005E723C">
        <w:rPr>
          <w:rtl/>
        </w:rPr>
        <w:t xml:space="preserve"> وأنواع معينة من </w:t>
      </w:r>
      <w:r w:rsidR="005E723C">
        <w:t>PDF</w:t>
      </w:r>
      <w:r w:rsidR="005E723C">
        <w:rPr>
          <w:rtl/>
        </w:rPr>
        <w:t>)</w:t>
      </w:r>
      <w:r w:rsidR="00D125D8">
        <w:rPr>
          <w:rtl/>
        </w:rPr>
        <w:t>،</w:t>
      </w:r>
      <w:r w:rsidR="005E723C">
        <w:rPr>
          <w:rtl/>
        </w:rPr>
        <w:t xml:space="preserve"> بما في ذلك البراءات الممنوحة (15)؛ </w:t>
      </w:r>
      <w:r w:rsidR="006D4F94">
        <w:rPr>
          <w:rFonts w:hint="cs"/>
          <w:rtl/>
        </w:rPr>
        <w:t>والطلبات</w:t>
      </w:r>
      <w:r w:rsidR="005E723C">
        <w:rPr>
          <w:rtl/>
        </w:rPr>
        <w:t xml:space="preserve"> المنشورة (13)؛ والتعديلات والتصويبات والتحديثات (13). </w:t>
      </w:r>
      <w:r w:rsidR="00071F21">
        <w:rPr>
          <w:rFonts w:hint="cs"/>
          <w:rtl/>
        </w:rPr>
        <w:t>و</w:t>
      </w:r>
      <w:r w:rsidR="005E723C">
        <w:rPr>
          <w:rtl/>
        </w:rPr>
        <w:t xml:space="preserve">أفاد عشرون مكتبًا من مكاتب الملكية الفكرية أنه يمكن </w:t>
      </w:r>
      <w:r w:rsidR="00071F21">
        <w:rPr>
          <w:rFonts w:hint="cs"/>
          <w:rtl/>
        </w:rPr>
        <w:t>النفاذ</w:t>
      </w:r>
      <w:r w:rsidR="005E723C">
        <w:rPr>
          <w:rtl/>
        </w:rPr>
        <w:t xml:space="preserve"> إلى جميع معلومات البراءات المتاحة من</w:t>
      </w:r>
      <w:r w:rsidR="00071F21">
        <w:rPr>
          <w:rFonts w:hint="cs"/>
          <w:rtl/>
        </w:rPr>
        <w:t xml:space="preserve"> خلال</w:t>
      </w:r>
      <w:r w:rsidR="005E723C">
        <w:rPr>
          <w:rtl/>
        </w:rPr>
        <w:t xml:space="preserve"> صفحة أو بوابة إلكترونية واحدة. وأشار خمسة عشر مكتبا من مكاتب الملكية الفكرية إلى أن وثائق الملكية الفكرية الإقليمية أو الدولية يمكن </w:t>
      </w:r>
      <w:r w:rsidR="00071F21">
        <w:rPr>
          <w:rFonts w:hint="cs"/>
          <w:rtl/>
        </w:rPr>
        <w:t>النفاذ</w:t>
      </w:r>
      <w:r w:rsidR="005E723C">
        <w:rPr>
          <w:rtl/>
        </w:rPr>
        <w:t xml:space="preserve"> إليها من</w:t>
      </w:r>
      <w:r w:rsidR="00071F21">
        <w:rPr>
          <w:rFonts w:hint="cs"/>
          <w:rtl/>
        </w:rPr>
        <w:t xml:space="preserve"> خلال</w:t>
      </w:r>
      <w:r w:rsidR="005E723C">
        <w:rPr>
          <w:rtl/>
        </w:rPr>
        <w:t xml:space="preserve"> أنظمتها </w:t>
      </w:r>
      <w:r w:rsidR="00071F21">
        <w:rPr>
          <w:rFonts w:hint="cs"/>
          <w:rtl/>
        </w:rPr>
        <w:t>الإلكترونية</w:t>
      </w:r>
      <w:r w:rsidR="005E723C">
        <w:rPr>
          <w:rtl/>
        </w:rPr>
        <w:t>.</w:t>
      </w:r>
    </w:p>
    <w:p w14:paraId="219F10D4" w14:textId="2278D1B4" w:rsidR="005E723C" w:rsidRDefault="00B5767A" w:rsidP="005E723C">
      <w:pPr>
        <w:pStyle w:val="ONUMA"/>
      </w:pPr>
      <w:r>
        <w:rPr>
          <w:rFonts w:hint="cs"/>
          <w:rtl/>
        </w:rPr>
        <w:t>و</w:t>
      </w:r>
      <w:r w:rsidR="005E723C">
        <w:rPr>
          <w:rtl/>
        </w:rPr>
        <w:t xml:space="preserve">ذكرت عشرة مكاتب أن النسخ المحدثة </w:t>
      </w:r>
      <w:r>
        <w:rPr>
          <w:rFonts w:hint="cs"/>
          <w:rtl/>
        </w:rPr>
        <w:t xml:space="preserve">من </w:t>
      </w:r>
      <w:r w:rsidR="005E723C">
        <w:rPr>
          <w:rtl/>
        </w:rPr>
        <w:t xml:space="preserve">وثائق البراءات </w:t>
      </w:r>
      <w:r>
        <w:rPr>
          <w:rFonts w:hint="cs"/>
          <w:rtl/>
        </w:rPr>
        <w:t>لا تتاح</w:t>
      </w:r>
      <w:r w:rsidR="005E723C">
        <w:rPr>
          <w:rtl/>
        </w:rPr>
        <w:t xml:space="preserve"> على الإنترنت </w:t>
      </w:r>
      <w:r>
        <w:rPr>
          <w:rFonts w:hint="cs"/>
          <w:rtl/>
        </w:rPr>
        <w:t>إذا ما أُجريت</w:t>
      </w:r>
      <w:r w:rsidR="005E723C">
        <w:rPr>
          <w:rtl/>
        </w:rPr>
        <w:t xml:space="preserve"> التغييرات بعد النشر. </w:t>
      </w:r>
      <w:r>
        <w:rPr>
          <w:rFonts w:hint="cs"/>
          <w:rtl/>
        </w:rPr>
        <w:t>ويُتاح</w:t>
      </w:r>
      <w:r w:rsidR="005E723C">
        <w:rPr>
          <w:rtl/>
        </w:rPr>
        <w:t xml:space="preserve"> سجل الأحداث الكامل (15) أو الجزئي (7) عبر الإنترنت</w:t>
      </w:r>
      <w:r>
        <w:rPr>
          <w:rFonts w:hint="cs"/>
          <w:rtl/>
        </w:rPr>
        <w:t xml:space="preserve"> في 22 مكتبا للملكية الفكرية</w:t>
      </w:r>
      <w:r w:rsidR="005E723C">
        <w:rPr>
          <w:rtl/>
        </w:rPr>
        <w:t xml:space="preserve"> بعد منح</w:t>
      </w:r>
      <w:r>
        <w:rPr>
          <w:rFonts w:hint="cs"/>
          <w:rtl/>
        </w:rPr>
        <w:t xml:space="preserve"> البراءة</w:t>
      </w:r>
      <w:r w:rsidR="005E723C">
        <w:rPr>
          <w:rtl/>
        </w:rPr>
        <w:t xml:space="preserve">. </w:t>
      </w:r>
      <w:r w:rsidR="000C3B24">
        <w:rPr>
          <w:rFonts w:hint="cs"/>
          <w:rtl/>
        </w:rPr>
        <w:t>و</w:t>
      </w:r>
      <w:r w:rsidR="005E723C">
        <w:rPr>
          <w:rtl/>
        </w:rPr>
        <w:t xml:space="preserve">تخطط تسعة مكاتب لتنفيذ المعيار </w:t>
      </w:r>
      <w:r w:rsidR="005E723C">
        <w:t>ST.27</w:t>
      </w:r>
      <w:r w:rsidR="005E723C">
        <w:rPr>
          <w:rtl/>
        </w:rPr>
        <w:t xml:space="preserve"> </w:t>
      </w:r>
      <w:r w:rsidR="000C3B24">
        <w:rPr>
          <w:rFonts w:hint="cs"/>
          <w:rtl/>
        </w:rPr>
        <w:t xml:space="preserve">بشأن </w:t>
      </w:r>
      <w:r w:rsidR="005E723C">
        <w:rPr>
          <w:rtl/>
        </w:rPr>
        <w:t>أحداث الوضع القانوني في المستقبل</w:t>
      </w:r>
      <w:r w:rsidR="00D125D8">
        <w:rPr>
          <w:rtl/>
        </w:rPr>
        <w:t>،</w:t>
      </w:r>
      <w:r w:rsidR="005E723C">
        <w:rPr>
          <w:rtl/>
        </w:rPr>
        <w:t xml:space="preserve"> في حين</w:t>
      </w:r>
      <w:r w:rsidR="000C3B24">
        <w:rPr>
          <w:rFonts w:hint="cs"/>
          <w:rtl/>
        </w:rPr>
        <w:t xml:space="preserve"> تشير</w:t>
      </w:r>
      <w:r w:rsidR="005E723C">
        <w:rPr>
          <w:rtl/>
        </w:rPr>
        <w:t xml:space="preserve"> تسعة من مكاتب الملكية الفكرية الأربعة عشر </w:t>
      </w:r>
      <w:r w:rsidR="000C3B24">
        <w:rPr>
          <w:rFonts w:hint="cs"/>
          <w:rtl/>
        </w:rPr>
        <w:t>التي لا تخطط</w:t>
      </w:r>
      <w:r w:rsidR="000C3B24">
        <w:rPr>
          <w:rtl/>
        </w:rPr>
        <w:t xml:space="preserve"> </w:t>
      </w:r>
      <w:r w:rsidR="005E723C">
        <w:rPr>
          <w:rtl/>
        </w:rPr>
        <w:t xml:space="preserve">لتنفيذ المعيار </w:t>
      </w:r>
      <w:r w:rsidR="005E723C">
        <w:t>ST.27</w:t>
      </w:r>
      <w:r w:rsidR="005E723C">
        <w:rPr>
          <w:rtl/>
        </w:rPr>
        <w:t xml:space="preserve"> في الوقت الحالي إلى عدم كفاية الموارد كسبب رئيسي.</w:t>
      </w:r>
    </w:p>
    <w:p w14:paraId="6E5560EA" w14:textId="26A68B02" w:rsidR="005E723C" w:rsidRDefault="00B331D8" w:rsidP="005E723C">
      <w:pPr>
        <w:pStyle w:val="ONUMA"/>
      </w:pPr>
      <w:r>
        <w:rPr>
          <w:rFonts w:hint="cs"/>
          <w:rtl/>
        </w:rPr>
        <w:t>و</w:t>
      </w:r>
      <w:r w:rsidR="005E723C">
        <w:rPr>
          <w:rtl/>
        </w:rPr>
        <w:t xml:space="preserve">أفاد ثلاثة عشر مكتبًا من مكاتب الملكية الفكرية </w:t>
      </w:r>
      <w:r>
        <w:rPr>
          <w:rFonts w:hint="cs"/>
          <w:rtl/>
        </w:rPr>
        <w:t>بأنها تقدم</w:t>
      </w:r>
      <w:r w:rsidR="005E723C">
        <w:rPr>
          <w:rtl/>
        </w:rPr>
        <w:t xml:space="preserve"> ملف</w:t>
      </w:r>
      <w:r>
        <w:rPr>
          <w:rFonts w:hint="cs"/>
          <w:rtl/>
        </w:rPr>
        <w:t>ات</w:t>
      </w:r>
      <w:r w:rsidR="005E723C">
        <w:rPr>
          <w:rtl/>
        </w:rPr>
        <w:t xml:space="preserve"> </w:t>
      </w:r>
      <w:r>
        <w:rPr>
          <w:rFonts w:hint="cs"/>
          <w:rtl/>
        </w:rPr>
        <w:t>الإدارة</w:t>
      </w:r>
      <w:r w:rsidR="005E723C">
        <w:rPr>
          <w:rtl/>
        </w:rPr>
        <w:t xml:space="preserve"> </w:t>
      </w:r>
      <w:r>
        <w:rPr>
          <w:rFonts w:hint="cs"/>
          <w:rtl/>
        </w:rPr>
        <w:t>ال</w:t>
      </w:r>
      <w:r w:rsidR="005E723C">
        <w:rPr>
          <w:rtl/>
        </w:rPr>
        <w:t>متوافق</w:t>
      </w:r>
      <w:r>
        <w:rPr>
          <w:rFonts w:hint="cs"/>
          <w:rtl/>
        </w:rPr>
        <w:t>ة</w:t>
      </w:r>
      <w:r w:rsidR="005E723C">
        <w:rPr>
          <w:rtl/>
        </w:rPr>
        <w:t xml:space="preserve"> مع المعيار </w:t>
      </w:r>
      <w:r w:rsidR="005E723C">
        <w:t>ST.37</w:t>
      </w:r>
      <w:r w:rsidR="005E723C">
        <w:rPr>
          <w:rtl/>
        </w:rPr>
        <w:t xml:space="preserve"> من خلال بوابة الويبو لملفات</w:t>
      </w:r>
      <w:r>
        <w:rPr>
          <w:rFonts w:hint="cs"/>
          <w:rtl/>
        </w:rPr>
        <w:t xml:space="preserve"> الإدارة على الإنترنت</w:t>
      </w:r>
      <w:r w:rsidR="00D125D8">
        <w:rPr>
          <w:rtl/>
        </w:rPr>
        <w:t>،</w:t>
      </w:r>
      <w:r w:rsidR="005E723C">
        <w:rPr>
          <w:rtl/>
        </w:rPr>
        <w:t xml:space="preserve"> بينما تقدم خمس مكاتب </w:t>
      </w:r>
      <w:r w:rsidR="006216FA">
        <w:rPr>
          <w:rFonts w:hint="cs"/>
          <w:rtl/>
        </w:rPr>
        <w:t>لل</w:t>
      </w:r>
      <w:r w:rsidR="005E723C">
        <w:rPr>
          <w:rtl/>
        </w:rPr>
        <w:t xml:space="preserve">ملكية فكرية </w:t>
      </w:r>
      <w:r w:rsidR="006216FA">
        <w:rPr>
          <w:rFonts w:hint="cs"/>
          <w:rtl/>
        </w:rPr>
        <w:t>ملفات إدارة</w:t>
      </w:r>
      <w:r w:rsidR="005E723C">
        <w:rPr>
          <w:rtl/>
        </w:rPr>
        <w:t xml:space="preserve"> غير </w:t>
      </w:r>
      <w:r w:rsidR="006216FA">
        <w:rPr>
          <w:rFonts w:hint="cs"/>
          <w:rtl/>
        </w:rPr>
        <w:t>متاحة على</w:t>
      </w:r>
      <w:r w:rsidR="005E723C">
        <w:rPr>
          <w:rtl/>
        </w:rPr>
        <w:t xml:space="preserve"> بوابة الويبو. </w:t>
      </w:r>
      <w:r w:rsidR="00E16C61">
        <w:rPr>
          <w:rFonts w:hint="cs"/>
          <w:rtl/>
        </w:rPr>
        <w:t>وتذكر</w:t>
      </w:r>
      <w:r w:rsidR="005E723C">
        <w:rPr>
          <w:rtl/>
        </w:rPr>
        <w:t xml:space="preserve"> مكاتب الملكية الفكرية التي لا تمتثل للمعيار </w:t>
      </w:r>
      <w:r w:rsidR="005E723C">
        <w:t>ST.37</w:t>
      </w:r>
      <w:r w:rsidR="005E723C">
        <w:rPr>
          <w:rtl/>
        </w:rPr>
        <w:t xml:space="preserve"> </w:t>
      </w:r>
      <w:r w:rsidR="00E16C61">
        <w:rPr>
          <w:rFonts w:hint="cs"/>
          <w:rtl/>
        </w:rPr>
        <w:t>بشأن ملف الإدارة الخاص بها</w:t>
      </w:r>
      <w:r w:rsidR="005E723C">
        <w:rPr>
          <w:rtl/>
        </w:rPr>
        <w:t xml:space="preserve"> نقص الموارد (7) وصعوبة المتطلبات </w:t>
      </w:r>
      <w:r w:rsidR="00E16C61">
        <w:rPr>
          <w:rFonts w:hint="cs"/>
          <w:rtl/>
        </w:rPr>
        <w:t>التقنية</w:t>
      </w:r>
      <w:r w:rsidR="005E723C">
        <w:rPr>
          <w:rtl/>
        </w:rPr>
        <w:t xml:space="preserve"> (5) </w:t>
      </w:r>
      <w:r w:rsidR="00CD1944">
        <w:rPr>
          <w:rFonts w:hint="cs"/>
          <w:rtl/>
        </w:rPr>
        <w:t>كسببين رئيسيين</w:t>
      </w:r>
      <w:r w:rsidR="005E723C">
        <w:rPr>
          <w:rtl/>
        </w:rPr>
        <w:t>.</w:t>
      </w:r>
    </w:p>
    <w:p w14:paraId="5C73F149" w14:textId="2191F95C" w:rsidR="005E723C" w:rsidRDefault="00E16C61" w:rsidP="005E723C">
      <w:pPr>
        <w:pStyle w:val="ONUMA"/>
      </w:pPr>
      <w:r>
        <w:rPr>
          <w:rFonts w:hint="cs"/>
          <w:rtl/>
        </w:rPr>
        <w:t>و</w:t>
      </w:r>
      <w:r w:rsidR="005E723C">
        <w:rPr>
          <w:rtl/>
        </w:rPr>
        <w:t xml:space="preserve">يرى المكتب الدولي أن نتائج الدراسة الاستقصائية ستكون مفيدة لتحديث الجزء </w:t>
      </w:r>
      <w:r>
        <w:rPr>
          <w:rFonts w:hint="cs"/>
          <w:rtl/>
        </w:rPr>
        <w:t>1.6</w:t>
      </w:r>
      <w:r w:rsidR="005E723C">
        <w:rPr>
          <w:rtl/>
        </w:rPr>
        <w:t xml:space="preserve"> من دليل الويبو "</w:t>
      </w:r>
      <w:r w:rsidRPr="00E16C61">
        <w:rPr>
          <w:rtl/>
        </w:rPr>
        <w:t>المحتويات الدنيا الموصى بها لمواقع مكاتب الملكية الفكرية في شبكة الإنترنت</w:t>
      </w:r>
      <w:r w:rsidR="005E723C">
        <w:rPr>
          <w:rtl/>
        </w:rPr>
        <w:t xml:space="preserve">". </w:t>
      </w:r>
      <w:r w:rsidR="00C43F6C">
        <w:rPr>
          <w:rFonts w:hint="cs"/>
          <w:rtl/>
        </w:rPr>
        <w:t xml:space="preserve">وتُعتبر </w:t>
      </w:r>
      <w:r w:rsidR="005E723C">
        <w:rPr>
          <w:rtl/>
        </w:rPr>
        <w:t xml:space="preserve">النتائج ذات صلة أيضًا بالمهمة رقم 62 المتعلقة بالنشر الإلكتروني لوثائق </w:t>
      </w:r>
      <w:r w:rsidR="00C43F6C">
        <w:rPr>
          <w:rFonts w:hint="cs"/>
          <w:rtl/>
        </w:rPr>
        <w:t>الملكية الفكرية</w:t>
      </w:r>
      <w:r w:rsidR="00D125D8">
        <w:rPr>
          <w:rtl/>
        </w:rPr>
        <w:t>،</w:t>
      </w:r>
      <w:r w:rsidR="005E723C">
        <w:rPr>
          <w:rtl/>
        </w:rPr>
        <w:t xml:space="preserve"> والتي </w:t>
      </w:r>
      <w:r w:rsidR="00C43F6C">
        <w:rPr>
          <w:rFonts w:hint="cs"/>
          <w:rtl/>
        </w:rPr>
        <w:t>أُسندت</w:t>
      </w:r>
      <w:r w:rsidR="005E723C">
        <w:rPr>
          <w:rtl/>
        </w:rPr>
        <w:t xml:space="preserve"> إلى فرقة العمل المعنية بالتحول الرقمي.</w:t>
      </w:r>
    </w:p>
    <w:p w14:paraId="66025CC5" w14:textId="19A7E594" w:rsidR="00425C84" w:rsidRDefault="005E723C" w:rsidP="00C43F6C">
      <w:pPr>
        <w:pStyle w:val="ONUMA"/>
        <w:rPr>
          <w:rtl/>
        </w:rPr>
      </w:pPr>
      <w:r>
        <w:rPr>
          <w:rtl/>
        </w:rPr>
        <w:t xml:space="preserve">الآن وقد </w:t>
      </w:r>
      <w:r w:rsidR="00C43F6C">
        <w:rPr>
          <w:rFonts w:hint="cs"/>
          <w:rtl/>
        </w:rPr>
        <w:t>أُجريت الدراسة الاستقصائية</w:t>
      </w:r>
      <w:r w:rsidR="00D125D8">
        <w:rPr>
          <w:rtl/>
        </w:rPr>
        <w:t>،</w:t>
      </w:r>
      <w:r>
        <w:rPr>
          <w:rtl/>
        </w:rPr>
        <w:t xml:space="preserve"> توصي فرقة العمل بتحديث وصف المهمة رقم 52 على النحو التالي:</w:t>
      </w:r>
    </w:p>
    <w:p w14:paraId="7904F434" w14:textId="77777777" w:rsidR="00C43F6C" w:rsidRDefault="00C43F6C" w:rsidP="00C43F6C">
      <w:pPr>
        <w:pStyle w:val="ONUMA"/>
        <w:numPr>
          <w:ilvl w:val="0"/>
          <w:numId w:val="0"/>
        </w:numPr>
        <w:ind w:left="567"/>
        <w:rPr>
          <w:rtl/>
        </w:rPr>
      </w:pPr>
      <w:r>
        <w:rPr>
          <w:rFonts w:hint="cs"/>
          <w:rtl/>
        </w:rPr>
        <w:t>"</w:t>
      </w:r>
      <w:r w:rsidRPr="00C43F6C">
        <w:rPr>
          <w:rFonts w:hint="cs"/>
          <w:strike/>
          <w:rtl/>
        </w:rPr>
        <w:t>إ</w:t>
      </w:r>
      <w:r w:rsidRPr="00C43F6C">
        <w:rPr>
          <w:strike/>
          <w:rtl/>
        </w:rPr>
        <w:t>جراء دراسة استقصائية عن محتوى ووظائف أنظمة النفاذ إلى معلومات البراءات التي تتيحها مكاتب الملكية الصناعية للجمهور، فضلا عن الخطط المستقبلية فيما يخص ممارساتها المتعلقة بالنشر؛ و</w:t>
      </w:r>
      <w:r w:rsidRPr="00C43F6C">
        <w:rPr>
          <w:rtl/>
        </w:rPr>
        <w:t>إعداد توصيات بشأن أنظمة النفاذ إلى معلومات البراءات التي تتيحها مكاتب الملكية الفكرية للجمهور.</w:t>
      </w:r>
      <w:r>
        <w:rPr>
          <w:rFonts w:hint="cs"/>
          <w:rtl/>
        </w:rPr>
        <w:t>"</w:t>
      </w:r>
    </w:p>
    <w:p w14:paraId="23E6A493" w14:textId="77777777" w:rsidR="004F57F4" w:rsidRPr="009D1FDC" w:rsidRDefault="004F57F4" w:rsidP="005508A8">
      <w:pPr>
        <w:pStyle w:val="ONUMA"/>
        <w:ind w:left="6025" w:hanging="540"/>
        <w:rPr>
          <w:i/>
          <w:iCs/>
        </w:rPr>
      </w:pPr>
      <w:r w:rsidRPr="009D1FDC">
        <w:rPr>
          <w:rFonts w:hint="cs"/>
          <w:i/>
          <w:iCs/>
          <w:rtl/>
        </w:rPr>
        <w:t>إن لجنة المعايير مدعوة إلى ما يلي:</w:t>
      </w:r>
    </w:p>
    <w:p w14:paraId="62446B20" w14:textId="6AF877E0" w:rsidR="005508A8" w:rsidRPr="009D1FDC" w:rsidRDefault="005508A8" w:rsidP="000B2A4E">
      <w:pPr>
        <w:pStyle w:val="ONUMA"/>
        <w:numPr>
          <w:ilvl w:val="0"/>
          <w:numId w:val="23"/>
        </w:numPr>
        <w:tabs>
          <w:tab w:val="right" w:pos="4225"/>
          <w:tab w:val="right" w:pos="4855"/>
          <w:tab w:val="right" w:pos="6475"/>
        </w:tabs>
        <w:ind w:left="5485" w:firstLine="540"/>
        <w:rPr>
          <w:i/>
          <w:iCs/>
        </w:rPr>
      </w:pPr>
      <w:r w:rsidRPr="009D1FDC">
        <w:rPr>
          <w:rFonts w:hint="cs"/>
          <w:i/>
          <w:iCs/>
          <w:rtl/>
        </w:rPr>
        <w:t xml:space="preserve"> </w:t>
      </w:r>
      <w:r w:rsidR="000B2A4E" w:rsidRPr="009D1FDC">
        <w:rPr>
          <w:rFonts w:hint="cs"/>
          <w:i/>
          <w:iCs/>
          <w:rtl/>
        </w:rPr>
        <w:t>الإحاطة علما</w:t>
      </w:r>
      <w:r w:rsidRPr="009D1FDC">
        <w:rPr>
          <w:i/>
          <w:iCs/>
          <w:rtl/>
        </w:rPr>
        <w:t xml:space="preserve"> </w:t>
      </w:r>
      <w:r w:rsidR="000B2A4E" w:rsidRPr="009D1FDC">
        <w:rPr>
          <w:rFonts w:hint="cs"/>
          <w:i/>
          <w:iCs/>
          <w:rtl/>
        </w:rPr>
        <w:t>ب</w:t>
      </w:r>
      <w:r w:rsidRPr="009D1FDC">
        <w:rPr>
          <w:i/>
          <w:iCs/>
          <w:rtl/>
        </w:rPr>
        <w:t xml:space="preserve">محتوى هذه الوثيقة؛ </w:t>
      </w:r>
    </w:p>
    <w:p w14:paraId="75CE8EA7" w14:textId="2AD65A21" w:rsidR="004F57F4" w:rsidRDefault="00C43F6C" w:rsidP="000B2A4E">
      <w:pPr>
        <w:pStyle w:val="ONUMA"/>
        <w:numPr>
          <w:ilvl w:val="0"/>
          <w:numId w:val="23"/>
        </w:numPr>
        <w:tabs>
          <w:tab w:val="right" w:pos="4225"/>
          <w:tab w:val="right" w:pos="4855"/>
          <w:tab w:val="right" w:pos="6475"/>
        </w:tabs>
        <w:ind w:left="5485" w:firstLine="540"/>
        <w:rPr>
          <w:i/>
          <w:iCs/>
        </w:rPr>
      </w:pPr>
      <w:r>
        <w:rPr>
          <w:rFonts w:hint="cs"/>
          <w:i/>
          <w:iCs/>
          <w:rtl/>
        </w:rPr>
        <w:t xml:space="preserve">وطلب الأمانة </w:t>
      </w:r>
      <w:r w:rsidR="00731F15">
        <w:rPr>
          <w:rFonts w:hint="cs"/>
          <w:i/>
          <w:iCs/>
          <w:rtl/>
        </w:rPr>
        <w:t>ب</w:t>
      </w:r>
      <w:r w:rsidRPr="00C43F6C">
        <w:rPr>
          <w:i/>
          <w:iCs/>
          <w:rtl/>
        </w:rPr>
        <w:t xml:space="preserve">نشر نتائج الدراسة الاستقصائية في الجزء 7 من دليل الويبو بشأن المعلومات والوثائق المتعلقة بالملكية الصناعية </w:t>
      </w:r>
      <w:r w:rsidR="009D1FDC" w:rsidRPr="009D1FDC">
        <w:rPr>
          <w:i/>
          <w:iCs/>
          <w:rtl/>
        </w:rPr>
        <w:t xml:space="preserve">على النحو الموصوف في الفقرة </w:t>
      </w:r>
      <w:r>
        <w:rPr>
          <w:rFonts w:hint="cs"/>
          <w:i/>
          <w:iCs/>
          <w:rtl/>
        </w:rPr>
        <w:t>3</w:t>
      </w:r>
      <w:r w:rsidR="009D1FDC" w:rsidRPr="009D1FDC">
        <w:rPr>
          <w:i/>
          <w:iCs/>
          <w:rtl/>
        </w:rPr>
        <w:t xml:space="preserve"> أعلاه</w:t>
      </w:r>
      <w:r>
        <w:rPr>
          <w:rFonts w:hint="cs"/>
          <w:i/>
          <w:iCs/>
          <w:rtl/>
        </w:rPr>
        <w:t>، إلى جانب نتائج تحليل الدراسات الاستقصائية على النحو الموصوف في الفقرات من 4 إلى 7 أعلاه؛</w:t>
      </w:r>
    </w:p>
    <w:p w14:paraId="12C577DA" w14:textId="33B9F603" w:rsidR="00C43F6C" w:rsidRPr="009D1FDC" w:rsidRDefault="00E804AB" w:rsidP="000B2A4E">
      <w:pPr>
        <w:pStyle w:val="ONUMA"/>
        <w:numPr>
          <w:ilvl w:val="0"/>
          <w:numId w:val="23"/>
        </w:numPr>
        <w:tabs>
          <w:tab w:val="right" w:pos="4225"/>
          <w:tab w:val="right" w:pos="4855"/>
          <w:tab w:val="right" w:pos="6475"/>
        </w:tabs>
        <w:ind w:left="5485" w:firstLine="540"/>
        <w:rPr>
          <w:i/>
          <w:iCs/>
          <w:rtl/>
        </w:rPr>
      </w:pPr>
      <w:r>
        <w:rPr>
          <w:rFonts w:hint="cs"/>
          <w:i/>
          <w:iCs/>
          <w:rtl/>
        </w:rPr>
        <w:t>و</w:t>
      </w:r>
      <w:r w:rsidR="005A2C07" w:rsidRPr="005A2C07">
        <w:rPr>
          <w:i/>
          <w:iCs/>
          <w:rtl/>
        </w:rPr>
        <w:t xml:space="preserve">النظر </w:t>
      </w:r>
      <w:r w:rsidR="005A2C07">
        <w:rPr>
          <w:rFonts w:hint="cs"/>
          <w:i/>
          <w:iCs/>
          <w:rtl/>
          <w:lang w:bidi="ar-EG"/>
        </w:rPr>
        <w:t xml:space="preserve">في </w:t>
      </w:r>
      <w:r w:rsidR="005A2C07" w:rsidRPr="005A2C07">
        <w:rPr>
          <w:i/>
          <w:iCs/>
          <w:rtl/>
        </w:rPr>
        <w:t>مراجعة المهمة رقم 52 الموضحة في الفقرة 9 أعلاه</w:t>
      </w:r>
      <w:r w:rsidR="005A2C07">
        <w:rPr>
          <w:rFonts w:hint="cs"/>
          <w:i/>
          <w:iCs/>
          <w:rtl/>
        </w:rPr>
        <w:t xml:space="preserve"> </w:t>
      </w:r>
      <w:r w:rsidR="005A2C07" w:rsidRPr="005A2C07">
        <w:rPr>
          <w:i/>
          <w:iCs/>
          <w:rtl/>
        </w:rPr>
        <w:t>والموافقة عل</w:t>
      </w:r>
      <w:r w:rsidR="005A2C07">
        <w:rPr>
          <w:rFonts w:hint="cs"/>
          <w:i/>
          <w:iCs/>
          <w:rtl/>
        </w:rPr>
        <w:t>يها</w:t>
      </w:r>
      <w:r w:rsidR="005A2C07" w:rsidRPr="005A2C07">
        <w:rPr>
          <w:i/>
          <w:iCs/>
          <w:rtl/>
        </w:rPr>
        <w:t>.</w:t>
      </w:r>
    </w:p>
    <w:p w14:paraId="10438951" w14:textId="77777777" w:rsidR="00206593" w:rsidRDefault="00206593" w:rsidP="000B2A4E">
      <w:pPr>
        <w:pStyle w:val="BodyText"/>
        <w:rPr>
          <w:rFonts w:eastAsia="Times New Roman"/>
          <w:rtl/>
          <w:lang w:eastAsia="en-US"/>
        </w:rPr>
      </w:pPr>
    </w:p>
    <w:p w14:paraId="09F7AA97" w14:textId="0B4DAF40" w:rsidR="00360601" w:rsidRPr="00425C84" w:rsidRDefault="00206593" w:rsidP="00360601">
      <w:pPr>
        <w:pStyle w:val="Endofdocument-Annex"/>
        <w:rPr>
          <w:lang w:eastAsia="en-US"/>
        </w:rPr>
      </w:pPr>
      <w:r w:rsidRPr="007969D1">
        <w:rPr>
          <w:rtl/>
          <w:lang w:eastAsia="en-US"/>
        </w:rPr>
        <w:t xml:space="preserve"> </w:t>
      </w:r>
      <w:r w:rsidR="007969D1" w:rsidRPr="007969D1">
        <w:rPr>
          <w:rtl/>
          <w:lang w:eastAsia="en-US"/>
        </w:rPr>
        <w:t>[</w:t>
      </w:r>
      <w:r w:rsidR="009D1FDC">
        <w:rPr>
          <w:rFonts w:hint="cs"/>
          <w:rtl/>
          <w:lang w:eastAsia="en-US"/>
        </w:rPr>
        <w:t>نهاية الوثيقة</w:t>
      </w:r>
      <w:r w:rsidR="007969D1" w:rsidRPr="007969D1">
        <w:rPr>
          <w:rtl/>
          <w:lang w:eastAsia="en-US"/>
        </w:rPr>
        <w:t>]</w:t>
      </w:r>
    </w:p>
    <w:p w14:paraId="057D7CA8" w14:textId="755031D6" w:rsidR="007969D1" w:rsidRPr="00425C84" w:rsidRDefault="007969D1" w:rsidP="00425C84">
      <w:pPr>
        <w:pStyle w:val="Endofdocument-Annex"/>
        <w:rPr>
          <w:rtl/>
          <w:lang w:eastAsia="en-US"/>
        </w:rPr>
      </w:pPr>
    </w:p>
    <w:sectPr w:rsidR="007969D1" w:rsidRPr="00425C84" w:rsidSect="00CC3E2D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E7901" w14:textId="77777777" w:rsidR="001E2622" w:rsidRDefault="001E2622">
      <w:r>
        <w:separator/>
      </w:r>
    </w:p>
  </w:endnote>
  <w:endnote w:type="continuationSeparator" w:id="0">
    <w:p w14:paraId="515F7C87" w14:textId="77777777" w:rsidR="001E2622" w:rsidRDefault="001E2622" w:rsidP="003B38C1">
      <w:r>
        <w:separator/>
      </w:r>
    </w:p>
    <w:p w14:paraId="57393AA8" w14:textId="77777777" w:rsidR="001E2622" w:rsidRPr="003B38C1" w:rsidRDefault="001E26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03282B6" w14:textId="77777777" w:rsidR="001E2622" w:rsidRPr="003B38C1" w:rsidRDefault="001E26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FD67B" w14:textId="77777777" w:rsidR="001E2622" w:rsidRDefault="001E2622">
      <w:r>
        <w:separator/>
      </w:r>
    </w:p>
  </w:footnote>
  <w:footnote w:type="continuationSeparator" w:id="0">
    <w:p w14:paraId="151EF949" w14:textId="77777777" w:rsidR="001E2622" w:rsidRDefault="001E2622" w:rsidP="008B60B2">
      <w:r>
        <w:separator/>
      </w:r>
    </w:p>
    <w:p w14:paraId="604E225C" w14:textId="77777777" w:rsidR="001E2622" w:rsidRPr="00ED77FB" w:rsidRDefault="001E26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53D246D" w14:textId="77777777" w:rsidR="001E2622" w:rsidRPr="00ED77FB" w:rsidRDefault="001E26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AF4A7" w14:textId="77777777" w:rsidR="00155952" w:rsidRPr="00E804AB" w:rsidRDefault="00155952" w:rsidP="00155952">
    <w:pPr>
      <w:bidi w:val="0"/>
      <w:rPr>
        <w:rFonts w:cs="Arial"/>
        <w:caps/>
        <w:szCs w:val="20"/>
        <w:lang w:val="fr-FR"/>
      </w:rPr>
    </w:pPr>
    <w:r w:rsidRPr="00360601">
      <w:rPr>
        <w:rFonts w:cs="Arial"/>
        <w:caps/>
        <w:szCs w:val="20"/>
      </w:rPr>
      <w:t>CWS/9/</w:t>
    </w:r>
    <w:r>
      <w:rPr>
        <w:rFonts w:cs="Arial"/>
        <w:caps/>
        <w:szCs w:val="20"/>
      </w:rPr>
      <w:t>16</w:t>
    </w:r>
  </w:p>
  <w:p w14:paraId="18D88363" w14:textId="21B73412" w:rsidR="00155952" w:rsidRPr="00360601" w:rsidRDefault="00155952" w:rsidP="00155952">
    <w:pPr>
      <w:bidi w:val="0"/>
      <w:rPr>
        <w:rFonts w:cs="Arial"/>
        <w:szCs w:val="20"/>
      </w:rPr>
    </w:pPr>
    <w:r w:rsidRPr="00360601">
      <w:rPr>
        <w:rFonts w:cs="Arial"/>
        <w:szCs w:val="20"/>
      </w:rPr>
      <w:fldChar w:fldCharType="begin"/>
    </w:r>
    <w:r w:rsidRPr="00360601">
      <w:rPr>
        <w:rFonts w:cs="Arial"/>
        <w:szCs w:val="20"/>
      </w:rPr>
      <w:instrText xml:space="preserve"> PAGE  \* MERGEFORMAT </w:instrText>
    </w:r>
    <w:r w:rsidRPr="00360601">
      <w:rPr>
        <w:rFonts w:cs="Arial"/>
        <w:szCs w:val="20"/>
      </w:rPr>
      <w:fldChar w:fldCharType="separate"/>
    </w:r>
    <w:r w:rsidR="002179F1">
      <w:rPr>
        <w:rFonts w:cs="Arial"/>
        <w:noProof/>
        <w:szCs w:val="20"/>
      </w:rPr>
      <w:t>2</w:t>
    </w:r>
    <w:r w:rsidRPr="00360601">
      <w:rPr>
        <w:rFonts w:cs="Arial"/>
        <w:szCs w:val="20"/>
      </w:rPr>
      <w:fldChar w:fldCharType="end"/>
    </w:r>
  </w:p>
  <w:p w14:paraId="114FCE8B" w14:textId="453522D7" w:rsidR="00155952" w:rsidRDefault="00155952" w:rsidP="00155952">
    <w:pPr>
      <w:pStyle w:val="Header"/>
      <w:jc w:val="right"/>
      <w:rPr>
        <w:rtl/>
      </w:rPr>
    </w:pPr>
  </w:p>
  <w:p w14:paraId="22865C96" w14:textId="77777777" w:rsidR="00155952" w:rsidRDefault="00155952" w:rsidP="0015595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8A6BE" w14:textId="77777777" w:rsidR="00E804AB" w:rsidRDefault="00E804AB" w:rsidP="00E804AB">
    <w:pPr>
      <w:pStyle w:val="Header"/>
      <w:bidi w:val="0"/>
      <w:rPr>
        <w:rtl/>
      </w:rPr>
    </w:pPr>
  </w:p>
  <w:p w14:paraId="75918D14" w14:textId="77777777" w:rsidR="00E804AB" w:rsidRDefault="00E804AB" w:rsidP="00425C84">
    <w:pPr>
      <w:pStyle w:val="Header"/>
      <w:bidi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650FB"/>
    <w:multiLevelType w:val="hybridMultilevel"/>
    <w:tmpl w:val="DA78CB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8B3D68"/>
    <w:multiLevelType w:val="hybridMultilevel"/>
    <w:tmpl w:val="E04E90D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95AD9"/>
    <w:multiLevelType w:val="hybridMultilevel"/>
    <w:tmpl w:val="6E9A9A90"/>
    <w:lvl w:ilvl="0" w:tplc="5AAE2C2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E077CC9"/>
    <w:multiLevelType w:val="hybridMultilevel"/>
    <w:tmpl w:val="FDA2BEE6"/>
    <w:lvl w:ilvl="0" w:tplc="B5B69CE8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F90CFF"/>
    <w:multiLevelType w:val="hybridMultilevel"/>
    <w:tmpl w:val="8390AA42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0" w15:restartNumberingAfterBreak="0">
    <w:nsid w:val="3F683FE3"/>
    <w:multiLevelType w:val="hybridMultilevel"/>
    <w:tmpl w:val="12D4B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23AB3"/>
    <w:multiLevelType w:val="hybridMultilevel"/>
    <w:tmpl w:val="E786B1F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6D64410"/>
    <w:multiLevelType w:val="hybridMultilevel"/>
    <w:tmpl w:val="7520E4A0"/>
    <w:lvl w:ilvl="0" w:tplc="8580E61E">
      <w:start w:val="1"/>
      <w:numFmt w:val="arabicAbjad"/>
      <w:lvlText w:val="(%1)"/>
      <w:lvlJc w:val="left"/>
      <w:pPr>
        <w:ind w:left="752" w:hanging="360"/>
      </w:pPr>
      <w:rPr>
        <w:rFonts w:asciiTheme="minorHAnsi" w:eastAsia="SimSu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4" w15:restartNumberingAfterBreak="0">
    <w:nsid w:val="47DA3EAA"/>
    <w:multiLevelType w:val="hybridMultilevel"/>
    <w:tmpl w:val="30161D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B94212"/>
    <w:multiLevelType w:val="hybridMultilevel"/>
    <w:tmpl w:val="BD8C314A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DF5788"/>
    <w:multiLevelType w:val="hybridMultilevel"/>
    <w:tmpl w:val="3CA6FAFA"/>
    <w:lvl w:ilvl="0" w:tplc="669848F8">
      <w:start w:val="1"/>
      <w:numFmt w:val="arabicAlpha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2B7CA7"/>
    <w:multiLevelType w:val="hybridMultilevel"/>
    <w:tmpl w:val="51AA377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20061B"/>
    <w:multiLevelType w:val="multilevel"/>
    <w:tmpl w:val="ACAA6F7E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0" w15:restartNumberingAfterBreak="0">
    <w:nsid w:val="5FD25130"/>
    <w:multiLevelType w:val="hybridMultilevel"/>
    <w:tmpl w:val="91BC472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957AC6"/>
    <w:multiLevelType w:val="hybridMultilevel"/>
    <w:tmpl w:val="3CE444C6"/>
    <w:lvl w:ilvl="0" w:tplc="4CF825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92C3E"/>
    <w:multiLevelType w:val="hybridMultilevel"/>
    <w:tmpl w:val="766684B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6"/>
  </w:num>
  <w:num w:numId="5">
    <w:abstractNumId w:val="1"/>
  </w:num>
  <w:num w:numId="6">
    <w:abstractNumId w:val="6"/>
  </w:num>
  <w:num w:numId="7">
    <w:abstractNumId w:val="19"/>
  </w:num>
  <w:num w:numId="8">
    <w:abstractNumId w:val="9"/>
  </w:num>
  <w:num w:numId="9">
    <w:abstractNumId w:val="10"/>
  </w:num>
  <w:num w:numId="10">
    <w:abstractNumId w:val="14"/>
  </w:num>
  <w:num w:numId="11">
    <w:abstractNumId w:val="18"/>
  </w:num>
  <w:num w:numId="12">
    <w:abstractNumId w:val="15"/>
  </w:num>
  <w:num w:numId="13">
    <w:abstractNumId w:val="20"/>
  </w:num>
  <w:num w:numId="14">
    <w:abstractNumId w:val="4"/>
  </w:num>
  <w:num w:numId="15">
    <w:abstractNumId w:val="8"/>
  </w:num>
  <w:num w:numId="16">
    <w:abstractNumId w:val="2"/>
  </w:num>
  <w:num w:numId="17">
    <w:abstractNumId w:val="11"/>
  </w:num>
  <w:num w:numId="18">
    <w:abstractNumId w:val="17"/>
  </w:num>
  <w:num w:numId="19">
    <w:abstractNumId w:val="5"/>
  </w:num>
  <w:num w:numId="20">
    <w:abstractNumId w:val="21"/>
  </w:num>
  <w:num w:numId="21">
    <w:abstractNumId w:val="7"/>
  </w:num>
  <w:num w:numId="22">
    <w:abstractNumId w:val="22"/>
  </w:num>
  <w:num w:numId="23">
    <w:abstractNumId w:val="13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0"/>
    <w:rsid w:val="00035A24"/>
    <w:rsid w:val="00043CAA"/>
    <w:rsid w:val="00056816"/>
    <w:rsid w:val="00065834"/>
    <w:rsid w:val="00070761"/>
    <w:rsid w:val="00071F21"/>
    <w:rsid w:val="00075432"/>
    <w:rsid w:val="000910E5"/>
    <w:rsid w:val="000968ED"/>
    <w:rsid w:val="000A3D97"/>
    <w:rsid w:val="000B1D1E"/>
    <w:rsid w:val="000B2A4E"/>
    <w:rsid w:val="000B5B36"/>
    <w:rsid w:val="000C3B24"/>
    <w:rsid w:val="000D3DAB"/>
    <w:rsid w:val="000E52DA"/>
    <w:rsid w:val="000F5E56"/>
    <w:rsid w:val="001362EE"/>
    <w:rsid w:val="001406E1"/>
    <w:rsid w:val="00140F22"/>
    <w:rsid w:val="00155952"/>
    <w:rsid w:val="00155D8A"/>
    <w:rsid w:val="001647D5"/>
    <w:rsid w:val="00167832"/>
    <w:rsid w:val="001832A6"/>
    <w:rsid w:val="0019592A"/>
    <w:rsid w:val="001B4A46"/>
    <w:rsid w:val="001D4107"/>
    <w:rsid w:val="001E2622"/>
    <w:rsid w:val="00203D24"/>
    <w:rsid w:val="00206593"/>
    <w:rsid w:val="00210D5F"/>
    <w:rsid w:val="0021217E"/>
    <w:rsid w:val="002179F1"/>
    <w:rsid w:val="002326AB"/>
    <w:rsid w:val="00243430"/>
    <w:rsid w:val="00250149"/>
    <w:rsid w:val="00262607"/>
    <w:rsid w:val="002634C4"/>
    <w:rsid w:val="00265354"/>
    <w:rsid w:val="002928D3"/>
    <w:rsid w:val="002A7B3A"/>
    <w:rsid w:val="002D4484"/>
    <w:rsid w:val="002F1FE6"/>
    <w:rsid w:val="002F4E68"/>
    <w:rsid w:val="00303282"/>
    <w:rsid w:val="00304850"/>
    <w:rsid w:val="00312F7F"/>
    <w:rsid w:val="00321316"/>
    <w:rsid w:val="00321EB3"/>
    <w:rsid w:val="00327E12"/>
    <w:rsid w:val="00333351"/>
    <w:rsid w:val="003452A8"/>
    <w:rsid w:val="00360601"/>
    <w:rsid w:val="00361450"/>
    <w:rsid w:val="003673CF"/>
    <w:rsid w:val="003845C1"/>
    <w:rsid w:val="00390119"/>
    <w:rsid w:val="003A219A"/>
    <w:rsid w:val="003A6F89"/>
    <w:rsid w:val="003B355C"/>
    <w:rsid w:val="003B3581"/>
    <w:rsid w:val="003B38C1"/>
    <w:rsid w:val="003C34E9"/>
    <w:rsid w:val="003F20F4"/>
    <w:rsid w:val="00423E3E"/>
    <w:rsid w:val="00425C84"/>
    <w:rsid w:val="00427AF4"/>
    <w:rsid w:val="00435E3E"/>
    <w:rsid w:val="00436F2D"/>
    <w:rsid w:val="004434C3"/>
    <w:rsid w:val="00444A53"/>
    <w:rsid w:val="0045246E"/>
    <w:rsid w:val="00452F85"/>
    <w:rsid w:val="00461B51"/>
    <w:rsid w:val="004647DA"/>
    <w:rsid w:val="00474062"/>
    <w:rsid w:val="00477D6B"/>
    <w:rsid w:val="0048522D"/>
    <w:rsid w:val="004D29A8"/>
    <w:rsid w:val="004E7145"/>
    <w:rsid w:val="004F57F4"/>
    <w:rsid w:val="005019FF"/>
    <w:rsid w:val="0050470A"/>
    <w:rsid w:val="0053057A"/>
    <w:rsid w:val="005508A8"/>
    <w:rsid w:val="00556076"/>
    <w:rsid w:val="00560A29"/>
    <w:rsid w:val="00565DBE"/>
    <w:rsid w:val="005740C5"/>
    <w:rsid w:val="0059409E"/>
    <w:rsid w:val="005A2C07"/>
    <w:rsid w:val="005B2C79"/>
    <w:rsid w:val="005B453D"/>
    <w:rsid w:val="005C6649"/>
    <w:rsid w:val="005C6C24"/>
    <w:rsid w:val="005E723C"/>
    <w:rsid w:val="005E7B89"/>
    <w:rsid w:val="005F0828"/>
    <w:rsid w:val="00600D30"/>
    <w:rsid w:val="00605827"/>
    <w:rsid w:val="006216FA"/>
    <w:rsid w:val="00646050"/>
    <w:rsid w:val="00650C02"/>
    <w:rsid w:val="006713CA"/>
    <w:rsid w:val="00672C45"/>
    <w:rsid w:val="00676C5C"/>
    <w:rsid w:val="006B5C12"/>
    <w:rsid w:val="006D03D2"/>
    <w:rsid w:val="006D27D2"/>
    <w:rsid w:val="006D4F94"/>
    <w:rsid w:val="006D7AAB"/>
    <w:rsid w:val="006D7C7A"/>
    <w:rsid w:val="006F641A"/>
    <w:rsid w:val="00707BB4"/>
    <w:rsid w:val="00710A03"/>
    <w:rsid w:val="007161B4"/>
    <w:rsid w:val="00720EFD"/>
    <w:rsid w:val="00731F15"/>
    <w:rsid w:val="00750C1A"/>
    <w:rsid w:val="007854AF"/>
    <w:rsid w:val="0079149A"/>
    <w:rsid w:val="00793A7C"/>
    <w:rsid w:val="007969D1"/>
    <w:rsid w:val="007A398A"/>
    <w:rsid w:val="007C2853"/>
    <w:rsid w:val="007C4902"/>
    <w:rsid w:val="007D1613"/>
    <w:rsid w:val="007E4889"/>
    <w:rsid w:val="007E4C0E"/>
    <w:rsid w:val="007F2C24"/>
    <w:rsid w:val="008243C0"/>
    <w:rsid w:val="00825DE5"/>
    <w:rsid w:val="008A134B"/>
    <w:rsid w:val="008A7C37"/>
    <w:rsid w:val="008B2CC1"/>
    <w:rsid w:val="008B60B2"/>
    <w:rsid w:val="0090731E"/>
    <w:rsid w:val="00916EE2"/>
    <w:rsid w:val="0093527D"/>
    <w:rsid w:val="0094554E"/>
    <w:rsid w:val="00947238"/>
    <w:rsid w:val="00966A22"/>
    <w:rsid w:val="0096722F"/>
    <w:rsid w:val="00980843"/>
    <w:rsid w:val="0099406E"/>
    <w:rsid w:val="009B0855"/>
    <w:rsid w:val="009B48A1"/>
    <w:rsid w:val="009D1FDC"/>
    <w:rsid w:val="009D2E78"/>
    <w:rsid w:val="009D3072"/>
    <w:rsid w:val="009D3A30"/>
    <w:rsid w:val="009E1721"/>
    <w:rsid w:val="009E2791"/>
    <w:rsid w:val="009E3F6F"/>
    <w:rsid w:val="009F499F"/>
    <w:rsid w:val="00A33241"/>
    <w:rsid w:val="00A37342"/>
    <w:rsid w:val="00A41FCF"/>
    <w:rsid w:val="00A42DAF"/>
    <w:rsid w:val="00A45BD8"/>
    <w:rsid w:val="00A83909"/>
    <w:rsid w:val="00A869B7"/>
    <w:rsid w:val="00A90F0A"/>
    <w:rsid w:val="00AC205C"/>
    <w:rsid w:val="00AD30FC"/>
    <w:rsid w:val="00AF0A6B"/>
    <w:rsid w:val="00AF4F00"/>
    <w:rsid w:val="00B05A69"/>
    <w:rsid w:val="00B331D8"/>
    <w:rsid w:val="00B42CA9"/>
    <w:rsid w:val="00B51FF7"/>
    <w:rsid w:val="00B5767A"/>
    <w:rsid w:val="00B75281"/>
    <w:rsid w:val="00B754E1"/>
    <w:rsid w:val="00B92F1F"/>
    <w:rsid w:val="00B9734B"/>
    <w:rsid w:val="00BA30E2"/>
    <w:rsid w:val="00BB571E"/>
    <w:rsid w:val="00BB781F"/>
    <w:rsid w:val="00BC6536"/>
    <w:rsid w:val="00C02F04"/>
    <w:rsid w:val="00C11BFE"/>
    <w:rsid w:val="00C32E43"/>
    <w:rsid w:val="00C3436A"/>
    <w:rsid w:val="00C43F6C"/>
    <w:rsid w:val="00C5068F"/>
    <w:rsid w:val="00C73194"/>
    <w:rsid w:val="00C74BB4"/>
    <w:rsid w:val="00C86D74"/>
    <w:rsid w:val="00C91553"/>
    <w:rsid w:val="00C925E7"/>
    <w:rsid w:val="00CB3DBA"/>
    <w:rsid w:val="00CC2CDF"/>
    <w:rsid w:val="00CC3E2D"/>
    <w:rsid w:val="00CD04F1"/>
    <w:rsid w:val="00CD1944"/>
    <w:rsid w:val="00CD1CA6"/>
    <w:rsid w:val="00CE19F8"/>
    <w:rsid w:val="00CF681A"/>
    <w:rsid w:val="00D07C78"/>
    <w:rsid w:val="00D125D8"/>
    <w:rsid w:val="00D45252"/>
    <w:rsid w:val="00D474E6"/>
    <w:rsid w:val="00D50A16"/>
    <w:rsid w:val="00D512F3"/>
    <w:rsid w:val="00D60B2C"/>
    <w:rsid w:val="00D62282"/>
    <w:rsid w:val="00D67EAE"/>
    <w:rsid w:val="00D71B4D"/>
    <w:rsid w:val="00D7681B"/>
    <w:rsid w:val="00D90B96"/>
    <w:rsid w:val="00D93D55"/>
    <w:rsid w:val="00DC0F46"/>
    <w:rsid w:val="00DC17E3"/>
    <w:rsid w:val="00DD65C8"/>
    <w:rsid w:val="00DD7B7F"/>
    <w:rsid w:val="00E13090"/>
    <w:rsid w:val="00E15015"/>
    <w:rsid w:val="00E16C61"/>
    <w:rsid w:val="00E17738"/>
    <w:rsid w:val="00E225C3"/>
    <w:rsid w:val="00E319DF"/>
    <w:rsid w:val="00E335FE"/>
    <w:rsid w:val="00E34683"/>
    <w:rsid w:val="00E655A0"/>
    <w:rsid w:val="00E66CC5"/>
    <w:rsid w:val="00E804AB"/>
    <w:rsid w:val="00EA2B00"/>
    <w:rsid w:val="00EA7D6E"/>
    <w:rsid w:val="00EB2F76"/>
    <w:rsid w:val="00EC4E49"/>
    <w:rsid w:val="00ED6EB7"/>
    <w:rsid w:val="00ED77FB"/>
    <w:rsid w:val="00EE307E"/>
    <w:rsid w:val="00EE45FA"/>
    <w:rsid w:val="00EF1011"/>
    <w:rsid w:val="00F043DE"/>
    <w:rsid w:val="00F10E7C"/>
    <w:rsid w:val="00F248CE"/>
    <w:rsid w:val="00F66152"/>
    <w:rsid w:val="00F76CB4"/>
    <w:rsid w:val="00F90C07"/>
    <w:rsid w:val="00F9165B"/>
    <w:rsid w:val="00FA17DA"/>
    <w:rsid w:val="00FA6CAF"/>
    <w:rsid w:val="00FB108C"/>
    <w:rsid w:val="00FC482F"/>
    <w:rsid w:val="00FD0B86"/>
    <w:rsid w:val="00FE132C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773BC5"/>
  <w15:docId w15:val="{A244D00F-46C7-4F7C-9484-47B1DBD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9149A"/>
    <w:pPr>
      <w:ind w:left="720"/>
      <w:contextualSpacing/>
    </w:pPr>
  </w:style>
  <w:style w:type="character" w:styleId="Hyperlink">
    <w:name w:val="Hyperlink"/>
    <w:basedOn w:val="DefaultParagraphFont"/>
    <w:unhideWhenUsed/>
    <w:rsid w:val="006D03D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0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edocs/mdocs/cws/en/cws_9/cws_9_item_16.zi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DB20B-A5CE-420D-AD0A-93B1EFF2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CWS/9/16</vt:lpstr>
      <vt:lpstr>CWS/9/1 PROV. (Arabic)</vt:lpstr>
    </vt:vector>
  </TitlesOfParts>
  <Company>WIPO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CWS/9/16</dc:title>
  <dc:creator>WIPO</dc:creator>
  <cp:keywords>FOR OFFICIAL USE ONLY</cp:keywords>
  <cp:lastModifiedBy>CHAVAS Louison</cp:lastModifiedBy>
  <cp:revision>2</cp:revision>
  <cp:lastPrinted>2021-09-16T14:23:00Z</cp:lastPrinted>
  <dcterms:created xsi:type="dcterms:W3CDTF">2021-09-20T08:04:00Z</dcterms:created>
  <dcterms:modified xsi:type="dcterms:W3CDTF">2021-09-20T08:04:00Z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