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D17C6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 wp14:anchorId="3A23EBFC" wp14:editId="0F20E9C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59D5BC0" w14:textId="77A4E5FB"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  <w:rtl/>
          <w:lang w:bidi="ar-EG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B831AA">
        <w:rPr>
          <w:rFonts w:ascii="Arial Black" w:hAnsi="Arial Black"/>
          <w:caps/>
          <w:sz w:val="15"/>
          <w:szCs w:val="15"/>
        </w:rPr>
        <w:t>18</w:t>
      </w:r>
    </w:p>
    <w:p w14:paraId="00D5854F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14:paraId="1A67CFCA" w14:textId="30B128AB" w:rsidR="008B2CC1" w:rsidRPr="00CC3E2D" w:rsidRDefault="00CC3E2D" w:rsidP="00FE132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831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23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14:paraId="1B9B32AE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F40854" w14:textId="77777777"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4BF048CE" w14:textId="77777777"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5C25F790" w14:textId="0C23D6FB" w:rsidR="008B2CC1" w:rsidRPr="00A8392E" w:rsidRDefault="00E3169B" w:rsidP="002D4484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E3169B">
        <w:rPr>
          <w:rFonts w:asciiTheme="minorHAnsi" w:hAnsiTheme="minorHAnsi"/>
          <w:caps/>
          <w:sz w:val="24"/>
          <w:szCs w:val="24"/>
          <w:rtl/>
        </w:rPr>
        <w:t xml:space="preserve">اقتراح </w:t>
      </w:r>
      <w:r w:rsidR="00B831AA">
        <w:rPr>
          <w:rFonts w:asciiTheme="minorHAnsi" w:hAnsiTheme="minorHAnsi" w:hint="cs"/>
          <w:caps/>
          <w:sz w:val="24"/>
          <w:szCs w:val="24"/>
          <w:rtl/>
        </w:rPr>
        <w:t>تحسين التقارير التقنية السنوية</w:t>
      </w:r>
    </w:p>
    <w:p w14:paraId="3797470C" w14:textId="77777777" w:rsidR="002928D3" w:rsidRPr="00FE132C" w:rsidRDefault="00D67EAE" w:rsidP="00E655A0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</w:t>
      </w:r>
      <w:r w:rsidR="00E655A0">
        <w:rPr>
          <w:rFonts w:asciiTheme="minorHAnsi" w:hAnsiTheme="minorHAnsi" w:cstheme="minorHAnsi" w:hint="cs"/>
          <w:iCs/>
          <w:rtl/>
        </w:rPr>
        <w:t>المكتب الدولي</w:t>
      </w:r>
    </w:p>
    <w:p w14:paraId="418D7B3D" w14:textId="77777777" w:rsidR="007969D1" w:rsidRPr="00FE132C" w:rsidRDefault="00FE132C" w:rsidP="00FE132C">
      <w:pPr>
        <w:pStyle w:val="Heading2"/>
        <w:rPr>
          <w:i/>
          <w:iCs w:val="0"/>
          <w:lang w:eastAsia="en-US" w:bidi="ar-LB"/>
        </w:rPr>
      </w:pPr>
      <w:r w:rsidRPr="00FE132C">
        <w:rPr>
          <w:rFonts w:hint="cs"/>
          <w:i/>
          <w:iCs w:val="0"/>
          <w:rtl/>
          <w:lang w:eastAsia="en-US"/>
        </w:rPr>
        <w:t>معلومات أساسية</w:t>
      </w:r>
    </w:p>
    <w:p w14:paraId="62432262" w14:textId="2114BDFF" w:rsidR="00B831AA" w:rsidRDefault="00B831AA" w:rsidP="00B831AA">
      <w:pPr>
        <w:pStyle w:val="ONUMA"/>
      </w:pPr>
      <w:r>
        <w:rPr>
          <w:rFonts w:hint="cs"/>
          <w:rtl/>
        </w:rPr>
        <w:t xml:space="preserve">أشارت </w:t>
      </w:r>
      <w:r w:rsidRPr="00B831AA">
        <w:rPr>
          <w:rtl/>
        </w:rPr>
        <w:t xml:space="preserve">لجنة المعايير </w:t>
      </w:r>
      <w:r>
        <w:rPr>
          <w:rtl/>
        </w:rPr>
        <w:t xml:space="preserve">في دورتها السابعة </w:t>
      </w:r>
      <w:r>
        <w:rPr>
          <w:rFonts w:hint="cs"/>
          <w:rtl/>
        </w:rPr>
        <w:t xml:space="preserve">المعقودة </w:t>
      </w:r>
      <w:r>
        <w:rPr>
          <w:rtl/>
        </w:rPr>
        <w:t xml:space="preserve">في عام 2019 </w:t>
      </w:r>
      <w:r w:rsidR="00F64750">
        <w:rPr>
          <w:rFonts w:hint="cs"/>
          <w:rtl/>
        </w:rPr>
        <w:t xml:space="preserve">إلى </w:t>
      </w:r>
      <w:r>
        <w:rPr>
          <w:rtl/>
        </w:rPr>
        <w:t xml:space="preserve">تراجع معدلات مشاركة مكاتب الملكية الفكرية في التقارير </w:t>
      </w:r>
      <w:r>
        <w:rPr>
          <w:rFonts w:hint="cs"/>
          <w:rtl/>
        </w:rPr>
        <w:t>التقنية</w:t>
      </w:r>
      <w:r>
        <w:rPr>
          <w:rtl/>
        </w:rPr>
        <w:t xml:space="preserve"> السنوية </w:t>
      </w:r>
      <w:r w:rsidR="00F6004C">
        <w:rPr>
          <w:rFonts w:hint="cs"/>
          <w:rtl/>
        </w:rPr>
        <w:t xml:space="preserve">(التقارير) </w:t>
      </w:r>
      <w:r>
        <w:rPr>
          <w:rtl/>
        </w:rPr>
        <w:t xml:space="preserve">وطلبت </w:t>
      </w:r>
      <w:r>
        <w:rPr>
          <w:rFonts w:hint="cs"/>
          <w:rtl/>
        </w:rPr>
        <w:t>تقديم مساهمات</w:t>
      </w:r>
      <w:r>
        <w:rPr>
          <w:rtl/>
        </w:rPr>
        <w:t xml:space="preserve"> حول طرق تحسين</w:t>
      </w:r>
      <w:r w:rsidR="00F6004C">
        <w:rPr>
          <w:rFonts w:hint="cs"/>
          <w:rtl/>
        </w:rPr>
        <w:t>ها</w:t>
      </w:r>
      <w:r>
        <w:rPr>
          <w:rtl/>
        </w:rPr>
        <w:t xml:space="preserve">. </w:t>
      </w:r>
      <w:r w:rsidR="00187D7E">
        <w:rPr>
          <w:rFonts w:hint="cs"/>
          <w:rtl/>
        </w:rPr>
        <w:t>وأشارت</w:t>
      </w:r>
      <w:r>
        <w:rPr>
          <w:rtl/>
        </w:rPr>
        <w:t xml:space="preserve"> عدة وفود</w:t>
      </w:r>
      <w:r w:rsidR="001344B3">
        <w:rPr>
          <w:rFonts w:hint="cs"/>
          <w:rtl/>
        </w:rPr>
        <w:t xml:space="preserve"> </w:t>
      </w:r>
      <w:r w:rsidR="00187D7E">
        <w:rPr>
          <w:rFonts w:hint="cs"/>
          <w:rtl/>
        </w:rPr>
        <w:t>إلى</w:t>
      </w:r>
      <w:r>
        <w:rPr>
          <w:rtl/>
        </w:rPr>
        <w:t xml:space="preserve"> أن المعلومات المطلوبة في </w:t>
      </w:r>
      <w:r w:rsidR="001344B3">
        <w:rPr>
          <w:rFonts w:hint="cs"/>
          <w:rtl/>
        </w:rPr>
        <w:t>ال</w:t>
      </w:r>
      <w:r>
        <w:rPr>
          <w:rtl/>
        </w:rPr>
        <w:t xml:space="preserve">تقارير متاحة </w:t>
      </w:r>
      <w:r w:rsidR="00187D7E">
        <w:rPr>
          <w:rFonts w:hint="cs"/>
          <w:rtl/>
        </w:rPr>
        <w:t>اصلا</w:t>
      </w:r>
      <w:r>
        <w:rPr>
          <w:rtl/>
        </w:rPr>
        <w:t xml:space="preserve"> في التقارير السنوية لمك</w:t>
      </w:r>
      <w:r w:rsidR="00CE7257">
        <w:rPr>
          <w:rFonts w:hint="cs"/>
          <w:rtl/>
        </w:rPr>
        <w:t>ا</w:t>
      </w:r>
      <w:r>
        <w:rPr>
          <w:rtl/>
        </w:rPr>
        <w:t>تبه</w:t>
      </w:r>
      <w:r w:rsidR="001344B3">
        <w:rPr>
          <w:rFonts w:hint="cs"/>
          <w:rtl/>
        </w:rPr>
        <w:t>ا</w:t>
      </w:r>
      <w:r>
        <w:rPr>
          <w:rtl/>
        </w:rPr>
        <w:t xml:space="preserve">. </w:t>
      </w:r>
      <w:r w:rsidR="00AA29A3">
        <w:rPr>
          <w:rFonts w:hint="cs"/>
          <w:rtl/>
        </w:rPr>
        <w:t>و</w:t>
      </w:r>
      <w:r>
        <w:rPr>
          <w:rtl/>
        </w:rPr>
        <w:t xml:space="preserve">طلبت لجنة المعايير من المكتب الدولي إعداد اقتراح لتحسين </w:t>
      </w:r>
      <w:r w:rsidR="00CE7257" w:rsidRPr="00CE7257">
        <w:rPr>
          <w:rtl/>
        </w:rPr>
        <w:t>التقارير</w:t>
      </w:r>
      <w:r>
        <w:rPr>
          <w:rtl/>
        </w:rPr>
        <w:t xml:space="preserve">. (انظر الفقرات من 206 إلى 208 من الوثيقة </w:t>
      </w:r>
      <w:r w:rsidR="00CE7257" w:rsidRPr="00CE7257">
        <w:t>CWS/7/29</w:t>
      </w:r>
      <w:r>
        <w:rPr>
          <w:rtl/>
        </w:rPr>
        <w:t>).</w:t>
      </w:r>
    </w:p>
    <w:p w14:paraId="448AF02E" w14:textId="4C99E38A" w:rsidR="00B831AA" w:rsidRPr="00B831AA" w:rsidRDefault="004D64E1" w:rsidP="00B831AA">
      <w:pPr>
        <w:pStyle w:val="Heading2"/>
        <w:rPr>
          <w:i/>
          <w:iCs w:val="0"/>
          <w:lang w:eastAsia="en-US"/>
        </w:rPr>
      </w:pPr>
      <w:r>
        <w:rPr>
          <w:rFonts w:hint="cs"/>
          <w:i/>
          <w:iCs w:val="0"/>
          <w:rtl/>
          <w:lang w:eastAsia="en-US"/>
        </w:rPr>
        <w:t xml:space="preserve">لمحات </w:t>
      </w:r>
      <w:r w:rsidR="00B831AA" w:rsidRPr="00B831AA">
        <w:rPr>
          <w:i/>
          <w:iCs w:val="0"/>
          <w:rtl/>
          <w:lang w:eastAsia="en-US"/>
        </w:rPr>
        <w:t>تاريخ</w:t>
      </w:r>
      <w:r>
        <w:rPr>
          <w:rFonts w:hint="cs"/>
          <w:i/>
          <w:iCs w:val="0"/>
          <w:rtl/>
          <w:lang w:eastAsia="en-US"/>
        </w:rPr>
        <w:t>ية</w:t>
      </w:r>
    </w:p>
    <w:p w14:paraId="212CE1BD" w14:textId="553CB5E0" w:rsidR="00B831AA" w:rsidRDefault="00F6004C" w:rsidP="00B831AA">
      <w:pPr>
        <w:pStyle w:val="ONUMA"/>
      </w:pPr>
      <w:r>
        <w:rPr>
          <w:rFonts w:hint="cs"/>
          <w:rtl/>
        </w:rPr>
        <w:t>كان</w:t>
      </w:r>
      <w:r w:rsidR="00B831AA">
        <w:rPr>
          <w:rtl/>
        </w:rPr>
        <w:t xml:space="preserve"> المكتب الدولي </w:t>
      </w:r>
      <w:r>
        <w:rPr>
          <w:rFonts w:hint="cs"/>
          <w:rtl/>
        </w:rPr>
        <w:t>يُشرف على إعداد</w:t>
      </w:r>
      <w:r w:rsidR="00B831AA">
        <w:rPr>
          <w:rtl/>
        </w:rPr>
        <w:t xml:space="preserve"> </w:t>
      </w:r>
      <w:r>
        <w:rPr>
          <w:rtl/>
        </w:rPr>
        <w:t>التقارير التقنية السنوية</w:t>
      </w:r>
      <w:r w:rsidR="00B831AA">
        <w:rPr>
          <w:rtl/>
        </w:rPr>
        <w:t xml:space="preserve"> منذ عام 1978. ووافقت الدول الأعضاء على هيكل</w:t>
      </w:r>
      <w:r>
        <w:rPr>
          <w:rFonts w:hint="cs"/>
          <w:rtl/>
        </w:rPr>
        <w:t xml:space="preserve"> تلك</w:t>
      </w:r>
      <w:r w:rsidR="00B831AA">
        <w:rPr>
          <w:rtl/>
        </w:rPr>
        <w:t xml:space="preserve"> </w:t>
      </w:r>
      <w:r>
        <w:rPr>
          <w:rtl/>
        </w:rPr>
        <w:t xml:space="preserve">التقارير </w:t>
      </w:r>
      <w:r w:rsidR="00B831AA">
        <w:rPr>
          <w:rtl/>
        </w:rPr>
        <w:t>وتمت مراجعته</w:t>
      </w:r>
      <w:r w:rsidR="00FD24E2">
        <w:rPr>
          <w:rFonts w:hint="cs"/>
          <w:rtl/>
        </w:rPr>
        <w:t>ا</w:t>
      </w:r>
      <w:r w:rsidR="00B831AA">
        <w:rPr>
          <w:rtl/>
        </w:rPr>
        <w:t xml:space="preserve"> دوريًا </w:t>
      </w:r>
      <w:r w:rsidR="00FD24E2">
        <w:rPr>
          <w:rFonts w:hint="cs"/>
          <w:rtl/>
        </w:rPr>
        <w:t>حيث أُجريت أهم المراجعات</w:t>
      </w:r>
      <w:r w:rsidR="00B831AA">
        <w:rPr>
          <w:rtl/>
        </w:rPr>
        <w:t xml:space="preserve"> في أعوام 1996 و2007 و2008 و2010. ومنذ عام 1998، نُشرت </w:t>
      </w:r>
      <w:r w:rsidR="00FD24E2">
        <w:rPr>
          <w:rFonts w:hint="cs"/>
          <w:rtl/>
        </w:rPr>
        <w:t>تك</w:t>
      </w:r>
      <w:r w:rsidR="00B831AA">
        <w:rPr>
          <w:rtl/>
        </w:rPr>
        <w:t xml:space="preserve"> </w:t>
      </w:r>
      <w:r>
        <w:rPr>
          <w:rtl/>
        </w:rPr>
        <w:t xml:space="preserve">التقارير </w:t>
      </w:r>
      <w:r w:rsidR="00B831AA">
        <w:rPr>
          <w:rtl/>
        </w:rPr>
        <w:t xml:space="preserve">على </w:t>
      </w:r>
      <w:r w:rsidR="00FD24E2">
        <w:rPr>
          <w:rFonts w:hint="cs"/>
          <w:rtl/>
        </w:rPr>
        <w:t>ال</w:t>
      </w:r>
      <w:r w:rsidR="00B831AA">
        <w:rPr>
          <w:rtl/>
        </w:rPr>
        <w:t>موقع</w:t>
      </w:r>
      <w:r w:rsidR="00FD24E2">
        <w:rPr>
          <w:rFonts w:hint="cs"/>
          <w:rtl/>
        </w:rPr>
        <w:t xml:space="preserve"> الإلكتروني</w:t>
      </w:r>
      <w:r w:rsidR="00B831AA">
        <w:rPr>
          <w:rtl/>
        </w:rPr>
        <w:t xml:space="preserve"> </w:t>
      </w:r>
      <w:r w:rsidR="00FD24E2">
        <w:rPr>
          <w:rFonts w:hint="cs"/>
          <w:rtl/>
        </w:rPr>
        <w:t>ل</w:t>
      </w:r>
      <w:r w:rsidR="00B831AA">
        <w:rPr>
          <w:rtl/>
        </w:rPr>
        <w:t>لويبو.</w:t>
      </w:r>
    </w:p>
    <w:p w14:paraId="51DCDF02" w14:textId="462BDC73" w:rsidR="00B831AA" w:rsidRDefault="00D95C3F" w:rsidP="006E1C7A">
      <w:pPr>
        <w:pStyle w:val="ONUMA"/>
      </w:pPr>
      <w:r>
        <w:rPr>
          <w:rFonts w:hint="cs"/>
          <w:rtl/>
        </w:rPr>
        <w:t>و</w:t>
      </w:r>
      <w:r w:rsidR="00B831AA">
        <w:rPr>
          <w:rtl/>
        </w:rPr>
        <w:t xml:space="preserve">تهدف </w:t>
      </w:r>
      <w:r w:rsidR="00F6004C">
        <w:rPr>
          <w:rtl/>
        </w:rPr>
        <w:t>التقارير التقنية السنوية</w:t>
      </w:r>
      <w:r w:rsidR="00B831AA">
        <w:rPr>
          <w:rtl/>
        </w:rPr>
        <w:t xml:space="preserve"> إلى </w:t>
      </w:r>
      <w:r>
        <w:rPr>
          <w:rFonts w:hint="cs"/>
          <w:rtl/>
        </w:rPr>
        <w:t>تعميم</w:t>
      </w:r>
      <w:r w:rsidR="00B831AA">
        <w:rPr>
          <w:rtl/>
        </w:rPr>
        <w:t xml:space="preserve"> المعلومات حول أنشطة </w:t>
      </w:r>
      <w:r>
        <w:rPr>
          <w:rFonts w:hint="cs"/>
          <w:rtl/>
        </w:rPr>
        <w:t>مكاتب الملكية الفكرية</w:t>
      </w:r>
      <w:r w:rsidR="00B831AA">
        <w:rPr>
          <w:rtl/>
        </w:rPr>
        <w:t xml:space="preserve"> وخططها وإحصاءاتها </w:t>
      </w:r>
      <w:r>
        <w:rPr>
          <w:rFonts w:hint="cs"/>
          <w:rtl/>
        </w:rPr>
        <w:t>لتصل إلى ال</w:t>
      </w:r>
      <w:r w:rsidR="00B831AA">
        <w:rPr>
          <w:rtl/>
        </w:rPr>
        <w:t>جمهور</w:t>
      </w:r>
      <w:r>
        <w:rPr>
          <w:rFonts w:hint="cs"/>
          <w:rtl/>
        </w:rPr>
        <w:t xml:space="preserve"> الواسع</w:t>
      </w:r>
      <w:r w:rsidR="00B831AA">
        <w:rPr>
          <w:rtl/>
        </w:rPr>
        <w:t xml:space="preserve">. </w:t>
      </w:r>
      <w:r w:rsidR="00EC2B42">
        <w:rPr>
          <w:rFonts w:hint="cs"/>
          <w:rtl/>
        </w:rPr>
        <w:t>و</w:t>
      </w:r>
      <w:r w:rsidR="00B831AA">
        <w:rPr>
          <w:rtl/>
        </w:rPr>
        <w:t xml:space="preserve">عندما </w:t>
      </w:r>
      <w:r w:rsidR="00EC2B42">
        <w:rPr>
          <w:rFonts w:hint="cs"/>
          <w:rtl/>
        </w:rPr>
        <w:t>انطلق إصدار</w:t>
      </w:r>
      <w:r w:rsidR="00B831AA">
        <w:rPr>
          <w:rtl/>
        </w:rPr>
        <w:t xml:space="preserve"> </w:t>
      </w:r>
      <w:r w:rsidR="00F6004C">
        <w:rPr>
          <w:rtl/>
        </w:rPr>
        <w:t>التقارير التقنية السنوية</w:t>
      </w:r>
      <w:r w:rsidR="00B831AA">
        <w:rPr>
          <w:rtl/>
        </w:rPr>
        <w:t xml:space="preserve">، لم </w:t>
      </w:r>
      <w:r w:rsidR="00EC2B42">
        <w:rPr>
          <w:rFonts w:hint="cs"/>
          <w:rtl/>
        </w:rPr>
        <w:t>يكن هناك وجود للمنشورات الإلكترونية</w:t>
      </w:r>
      <w:r w:rsidR="00B831AA">
        <w:rPr>
          <w:rtl/>
        </w:rPr>
        <w:t xml:space="preserve"> وكان من الصعب </w:t>
      </w:r>
      <w:r w:rsidR="00EC2B42">
        <w:rPr>
          <w:rFonts w:hint="cs"/>
          <w:rtl/>
        </w:rPr>
        <w:t>النفاذ</w:t>
      </w:r>
      <w:r w:rsidR="00B831AA">
        <w:rPr>
          <w:rtl/>
        </w:rPr>
        <w:t xml:space="preserve"> إلى معلومات مكاتب الملكية الفكرية. </w:t>
      </w:r>
      <w:r w:rsidR="00EC2B42">
        <w:rPr>
          <w:rFonts w:hint="cs"/>
          <w:rtl/>
        </w:rPr>
        <w:t>و</w:t>
      </w:r>
      <w:r w:rsidR="00B831AA">
        <w:rPr>
          <w:rtl/>
        </w:rPr>
        <w:t>بالإضافة إلى ذلك</w:t>
      </w:r>
      <w:r w:rsidR="00EC2B42">
        <w:rPr>
          <w:rtl/>
        </w:rPr>
        <w:t>،</w:t>
      </w:r>
      <w:r w:rsidR="00B831AA">
        <w:rPr>
          <w:rtl/>
        </w:rPr>
        <w:t xml:space="preserve"> </w:t>
      </w:r>
      <w:r w:rsidR="006E2D95">
        <w:rPr>
          <w:rFonts w:hint="cs"/>
          <w:rtl/>
        </w:rPr>
        <w:t>أدى استعمال</w:t>
      </w:r>
      <w:r w:rsidR="00B831AA">
        <w:rPr>
          <w:rtl/>
        </w:rPr>
        <w:t xml:space="preserve"> </w:t>
      </w:r>
      <w:r w:rsidR="006E2D95">
        <w:rPr>
          <w:rFonts w:hint="cs"/>
          <w:rtl/>
        </w:rPr>
        <w:t>مكاتب الملكية الفكرية لعدد</w:t>
      </w:r>
      <w:r w:rsidR="00B831AA">
        <w:rPr>
          <w:rtl/>
        </w:rPr>
        <w:t xml:space="preserve"> هائل من اللغات في </w:t>
      </w:r>
      <w:r w:rsidR="00DF09C9">
        <w:rPr>
          <w:rFonts w:hint="cs"/>
          <w:rtl/>
        </w:rPr>
        <w:t xml:space="preserve">تلك </w:t>
      </w:r>
      <w:r w:rsidR="00B831AA">
        <w:rPr>
          <w:rtl/>
        </w:rPr>
        <w:t xml:space="preserve">التقارير </w:t>
      </w:r>
      <w:r w:rsidR="006E2D95">
        <w:rPr>
          <w:rFonts w:hint="cs"/>
          <w:rtl/>
        </w:rPr>
        <w:t>إلى تعقيد عملية</w:t>
      </w:r>
      <w:r w:rsidR="00B831AA">
        <w:rPr>
          <w:rtl/>
        </w:rPr>
        <w:t xml:space="preserve"> تحديد المعلومات وفهمها.</w:t>
      </w:r>
    </w:p>
    <w:p w14:paraId="6BBDB1DE" w14:textId="00A889DF" w:rsidR="007969D1" w:rsidRDefault="003D7B03" w:rsidP="00B831AA">
      <w:pPr>
        <w:pStyle w:val="ONUMA"/>
      </w:pPr>
      <w:r>
        <w:rPr>
          <w:rFonts w:hint="cs"/>
          <w:rtl/>
        </w:rPr>
        <w:t>ونظر الكيانا</w:t>
      </w:r>
      <w:r w:rsidR="00CF5BB7">
        <w:rPr>
          <w:rFonts w:hint="cs"/>
          <w:rtl/>
        </w:rPr>
        <w:t>ن</w:t>
      </w:r>
      <w:r>
        <w:rPr>
          <w:rFonts w:hint="cs"/>
          <w:rtl/>
        </w:rPr>
        <w:t xml:space="preserve"> السالف</w:t>
      </w:r>
      <w:r w:rsidR="00CF5BB7">
        <w:rPr>
          <w:rFonts w:hint="cs"/>
          <w:rtl/>
        </w:rPr>
        <w:t>ان</w:t>
      </w:r>
      <w:r>
        <w:rPr>
          <w:rFonts w:hint="cs"/>
          <w:rtl/>
        </w:rPr>
        <w:t xml:space="preserve"> للجنة المعايير</w:t>
      </w:r>
      <w:r w:rsidR="00B831AA">
        <w:rPr>
          <w:rtl/>
        </w:rPr>
        <w:t xml:space="preserve"> في فائدة </w:t>
      </w:r>
      <w:r w:rsidR="00F6004C">
        <w:rPr>
          <w:rtl/>
        </w:rPr>
        <w:t>التقارير التقنية السنوية</w:t>
      </w:r>
      <w:r w:rsidR="00EC2B42">
        <w:rPr>
          <w:rtl/>
        </w:rPr>
        <w:t>،</w:t>
      </w:r>
      <w:r w:rsidR="00B831AA">
        <w:rPr>
          <w:rtl/>
        </w:rPr>
        <w:t xml:space="preserve"> و</w:t>
      </w:r>
      <w:r>
        <w:rPr>
          <w:rFonts w:hint="cs"/>
          <w:rtl/>
        </w:rPr>
        <w:t>ه</w:t>
      </w:r>
      <w:r w:rsidR="00FA308C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B831AA">
        <w:rPr>
          <w:rtl/>
        </w:rPr>
        <w:t xml:space="preserve">اللجنة الدائمة </w:t>
      </w:r>
      <w:r>
        <w:rPr>
          <w:rFonts w:hint="cs"/>
          <w:rtl/>
        </w:rPr>
        <w:t>المعنية ب</w:t>
      </w:r>
      <w:r w:rsidR="00B831AA">
        <w:rPr>
          <w:rtl/>
        </w:rPr>
        <w:t xml:space="preserve">تكنولوجيا المعلومات </w:t>
      </w:r>
      <w:r>
        <w:rPr>
          <w:rFonts w:hint="cs"/>
          <w:rtl/>
        </w:rPr>
        <w:t>والفريق العامل التابع لها المعني</w:t>
      </w:r>
      <w:r w:rsidR="00B831AA">
        <w:rPr>
          <w:rtl/>
        </w:rPr>
        <w:t xml:space="preserve"> </w:t>
      </w:r>
      <w:r>
        <w:rPr>
          <w:rFonts w:hint="cs"/>
          <w:rtl/>
        </w:rPr>
        <w:t>ب</w:t>
      </w:r>
      <w:r w:rsidR="00B831AA">
        <w:rPr>
          <w:rtl/>
        </w:rPr>
        <w:t xml:space="preserve">المعايير </w:t>
      </w:r>
      <w:r>
        <w:rPr>
          <w:rFonts w:hint="cs"/>
          <w:rtl/>
        </w:rPr>
        <w:t>والوثائق.</w:t>
      </w:r>
      <w:r w:rsidR="00B831AA">
        <w:rPr>
          <w:rtl/>
        </w:rPr>
        <w:t xml:space="preserve"> </w:t>
      </w:r>
      <w:r w:rsidR="009051CA">
        <w:rPr>
          <w:rFonts w:hint="cs"/>
          <w:rtl/>
        </w:rPr>
        <w:t>ويعني</w:t>
      </w:r>
      <w:r w:rsidR="00B831AA">
        <w:rPr>
          <w:rtl/>
        </w:rPr>
        <w:t xml:space="preserve"> توسيع استخدام </w:t>
      </w:r>
      <w:r w:rsidR="009051CA">
        <w:rPr>
          <w:rFonts w:hint="cs"/>
          <w:rtl/>
        </w:rPr>
        <w:t>ال</w:t>
      </w:r>
      <w:r w:rsidR="00B831AA">
        <w:rPr>
          <w:rtl/>
        </w:rPr>
        <w:t xml:space="preserve">مواقع </w:t>
      </w:r>
      <w:r w:rsidR="009051CA">
        <w:rPr>
          <w:rFonts w:hint="cs"/>
          <w:rtl/>
        </w:rPr>
        <w:t>الإلكترونية لمكاتب الملكية الفكرية</w:t>
      </w:r>
      <w:r w:rsidR="00B831AA">
        <w:rPr>
          <w:rtl/>
        </w:rPr>
        <w:t xml:space="preserve"> لنشر المعلومات </w:t>
      </w:r>
      <w:r w:rsidR="009051CA">
        <w:rPr>
          <w:rFonts w:hint="cs"/>
          <w:rtl/>
        </w:rPr>
        <w:t>إتاحة كثير</w:t>
      </w:r>
      <w:r w:rsidR="00B831AA">
        <w:rPr>
          <w:rtl/>
        </w:rPr>
        <w:t xml:space="preserve"> من المعلومات </w:t>
      </w:r>
      <w:r w:rsidR="009051CA">
        <w:rPr>
          <w:rFonts w:hint="cs"/>
          <w:rtl/>
        </w:rPr>
        <w:t>المتضمنة</w:t>
      </w:r>
      <w:r w:rsidR="00B831AA">
        <w:rPr>
          <w:rtl/>
        </w:rPr>
        <w:t xml:space="preserve"> في </w:t>
      </w:r>
      <w:r w:rsidR="00F6004C">
        <w:rPr>
          <w:rtl/>
        </w:rPr>
        <w:t>التقارير التقنية السنوية</w:t>
      </w:r>
      <w:r w:rsidR="00B831AA">
        <w:rPr>
          <w:rtl/>
        </w:rPr>
        <w:t xml:space="preserve"> </w:t>
      </w:r>
      <w:r w:rsidR="009051CA">
        <w:rPr>
          <w:rFonts w:hint="cs"/>
          <w:rtl/>
        </w:rPr>
        <w:t>على تلك المواقع الإلكترونية</w:t>
      </w:r>
      <w:r w:rsidR="00B831AA">
        <w:rPr>
          <w:rtl/>
        </w:rPr>
        <w:t xml:space="preserve">. </w:t>
      </w:r>
      <w:r w:rsidR="007541BE">
        <w:rPr>
          <w:rFonts w:hint="cs"/>
          <w:rtl/>
        </w:rPr>
        <w:t>و</w:t>
      </w:r>
      <w:r w:rsidR="00B831AA">
        <w:rPr>
          <w:rtl/>
        </w:rPr>
        <w:t>أشارت رسالة من المعهد الفدرالي السويسري للملكية الفكرية في عام 2003 إلى</w:t>
      </w:r>
      <w:r w:rsidR="00FA308C">
        <w:rPr>
          <w:rFonts w:hint="cs"/>
          <w:rtl/>
        </w:rPr>
        <w:t xml:space="preserve"> أنه</w:t>
      </w:r>
      <w:r w:rsidR="00B831AA">
        <w:rPr>
          <w:rtl/>
        </w:rPr>
        <w:t>:</w:t>
      </w:r>
    </w:p>
    <w:p w14:paraId="3EEB67A6" w14:textId="686A023E" w:rsidR="007541BE" w:rsidRDefault="007541BE" w:rsidP="007541BE">
      <w:pPr>
        <w:pStyle w:val="ONUMA"/>
        <w:numPr>
          <w:ilvl w:val="0"/>
          <w:numId w:val="0"/>
        </w:numPr>
        <w:ind w:left="567"/>
        <w:rPr>
          <w:rtl/>
          <w:lang w:bidi="ar-EG"/>
        </w:rPr>
      </w:pPr>
      <w:r>
        <w:rPr>
          <w:rtl/>
        </w:rPr>
        <w:t>"بعد الرجوع إلى التقارير [</w:t>
      </w:r>
      <w:r>
        <w:rPr>
          <w:rFonts w:hint="cs"/>
          <w:rtl/>
        </w:rPr>
        <w:t>التقنية</w:t>
      </w:r>
      <w:r>
        <w:rPr>
          <w:rtl/>
        </w:rPr>
        <w:t xml:space="preserve"> السنوية] الحالية، لاحظنا أن عدد الدول التي قدمت تقارير قد </w:t>
      </w:r>
      <w:r>
        <w:rPr>
          <w:rFonts w:hint="cs"/>
          <w:rtl/>
        </w:rPr>
        <w:t xml:space="preserve">شهد </w:t>
      </w:r>
      <w:r w:rsidR="00FA308C">
        <w:rPr>
          <w:rFonts w:hint="cs"/>
          <w:rtl/>
        </w:rPr>
        <w:t>تراجعا</w:t>
      </w:r>
      <w:r>
        <w:rPr>
          <w:rFonts w:hint="cs"/>
          <w:rtl/>
        </w:rPr>
        <w:t xml:space="preserve"> مستمرا</w:t>
      </w:r>
      <w:r>
        <w:rPr>
          <w:rtl/>
        </w:rPr>
        <w:t xml:space="preserve"> خلال السنوات القليلة الماضية وأنه وصل الآن إلى عتبة حرجة. </w:t>
      </w:r>
      <w:r>
        <w:rPr>
          <w:rFonts w:hint="cs"/>
          <w:rtl/>
        </w:rPr>
        <w:t>و</w:t>
      </w:r>
      <w:r>
        <w:rPr>
          <w:rtl/>
        </w:rPr>
        <w:t xml:space="preserve">علاوة على ذلك، يبدو أن الفائدة العملية لهذه التقارير محدودة </w:t>
      </w:r>
      <w:r>
        <w:rPr>
          <w:rtl/>
        </w:rPr>
        <w:lastRenderedPageBreak/>
        <w:t xml:space="preserve">للغاية: بصرف النظر عن ذكرها من حين لآخر في منشور </w:t>
      </w:r>
      <w:r w:rsidR="007D1A8B">
        <w:rPr>
          <w:rFonts w:hint="cs"/>
          <w:rtl/>
        </w:rPr>
        <w:t>'معلومات البراءات العالمية'</w:t>
      </w:r>
      <w:r>
        <w:rPr>
          <w:rtl/>
        </w:rPr>
        <w:t xml:space="preserve">، يبدو أنها نادراً ما تستخدم في الوقت الحاضر ". (انظر المرفق الأول من الوثيقة </w:t>
      </w:r>
      <w:r w:rsidR="00D41EE0" w:rsidRPr="00D41EE0">
        <w:t>SCIT/SDWG/6/7</w:t>
      </w:r>
      <w:r w:rsidR="00D41EE0">
        <w:rPr>
          <w:rFonts w:hint="cs"/>
          <w:rtl/>
          <w:lang w:bidi="ar-EG"/>
        </w:rPr>
        <w:t>).</w:t>
      </w:r>
    </w:p>
    <w:p w14:paraId="67F42C8F" w14:textId="358DCED5" w:rsidR="007541BE" w:rsidRDefault="00747A77" w:rsidP="007541BE">
      <w:pPr>
        <w:pStyle w:val="ONUMA"/>
        <w:rPr>
          <w:rtl/>
        </w:rPr>
      </w:pPr>
      <w:r>
        <w:rPr>
          <w:rFonts w:hint="cs"/>
          <w:rtl/>
        </w:rPr>
        <w:t xml:space="preserve">وقد </w:t>
      </w:r>
      <w:r w:rsidR="00D635F0">
        <w:rPr>
          <w:rFonts w:hint="cs"/>
          <w:rtl/>
        </w:rPr>
        <w:t>قدم</w:t>
      </w:r>
      <w:r w:rsidRPr="00747A77">
        <w:rPr>
          <w:rtl/>
        </w:rPr>
        <w:t xml:space="preserve"> المكتب الدولي </w:t>
      </w:r>
      <w:r w:rsidR="007541BE">
        <w:rPr>
          <w:rtl/>
        </w:rPr>
        <w:t>في عام 2005</w:t>
      </w:r>
      <w:r>
        <w:rPr>
          <w:rFonts w:hint="cs"/>
          <w:rtl/>
        </w:rPr>
        <w:t xml:space="preserve"> </w:t>
      </w:r>
      <w:r w:rsidR="00D635F0">
        <w:rPr>
          <w:rFonts w:hint="cs"/>
          <w:rtl/>
        </w:rPr>
        <w:t>اقتراحا ب</w:t>
      </w:r>
      <w:r w:rsidR="007541BE">
        <w:rPr>
          <w:rtl/>
        </w:rPr>
        <w:t xml:space="preserve">وقف </w:t>
      </w:r>
      <w:r>
        <w:rPr>
          <w:rFonts w:hint="cs"/>
          <w:rtl/>
        </w:rPr>
        <w:t xml:space="preserve">إصدار </w:t>
      </w:r>
      <w:r w:rsidRPr="00747A77">
        <w:rPr>
          <w:rtl/>
        </w:rPr>
        <w:t xml:space="preserve">التقارير التقنية السنوية </w:t>
      </w:r>
      <w:r w:rsidR="007541BE">
        <w:rPr>
          <w:rtl/>
        </w:rPr>
        <w:t xml:space="preserve">استنادًا إلى تراجع </w:t>
      </w:r>
      <w:r w:rsidR="00D635F0">
        <w:rPr>
          <w:rFonts w:hint="cs"/>
          <w:rtl/>
        </w:rPr>
        <w:t xml:space="preserve">مستويات </w:t>
      </w:r>
      <w:r w:rsidR="007541BE">
        <w:rPr>
          <w:rtl/>
        </w:rPr>
        <w:t xml:space="preserve">المشاركة وفائدتها لكي </w:t>
      </w:r>
      <w:r w:rsidR="004070A0">
        <w:rPr>
          <w:rFonts w:hint="cs"/>
          <w:rtl/>
        </w:rPr>
        <w:t>ي</w:t>
      </w:r>
      <w:r w:rsidR="007541BE">
        <w:rPr>
          <w:rtl/>
        </w:rPr>
        <w:t xml:space="preserve">نظر فيه </w:t>
      </w:r>
      <w:r w:rsidR="004070A0" w:rsidRPr="004070A0">
        <w:rPr>
          <w:rtl/>
        </w:rPr>
        <w:t xml:space="preserve">الفريق العامل </w:t>
      </w:r>
      <w:r w:rsidR="004070A0">
        <w:rPr>
          <w:rFonts w:hint="cs"/>
          <w:rtl/>
        </w:rPr>
        <w:t xml:space="preserve">السابق </w:t>
      </w:r>
      <w:r w:rsidR="004070A0" w:rsidRPr="004070A0">
        <w:rPr>
          <w:rtl/>
        </w:rPr>
        <w:t xml:space="preserve">المعني بالمعايير والوثائق </w:t>
      </w:r>
      <w:r w:rsidR="007541BE">
        <w:rPr>
          <w:rtl/>
        </w:rPr>
        <w:t xml:space="preserve">(انظر الفقرات من 5 إلى 8 من الوثيقة </w:t>
      </w:r>
      <w:r w:rsidR="004070A0" w:rsidRPr="004070A0">
        <w:t>SCIT/SDWG/6/11</w:t>
      </w:r>
      <w:r w:rsidR="007541BE">
        <w:rPr>
          <w:rtl/>
        </w:rPr>
        <w:t xml:space="preserve">). وبدلاً من ذلك، قرر </w:t>
      </w:r>
      <w:r w:rsidR="00E53AC9">
        <w:rPr>
          <w:rFonts w:hint="cs"/>
          <w:rtl/>
        </w:rPr>
        <w:t>ذلك الفريق العامل</w:t>
      </w:r>
      <w:r w:rsidR="007541BE">
        <w:rPr>
          <w:rtl/>
        </w:rPr>
        <w:t xml:space="preserve"> إنشاء </w:t>
      </w:r>
      <w:r w:rsidR="00E53AC9">
        <w:rPr>
          <w:rFonts w:hint="cs"/>
          <w:rtl/>
        </w:rPr>
        <w:t xml:space="preserve">فرقة عمل </w:t>
      </w:r>
      <w:r w:rsidR="007541BE">
        <w:rPr>
          <w:rtl/>
        </w:rPr>
        <w:t>لدراسة القضايا والتوصية ب</w:t>
      </w:r>
      <w:r w:rsidR="00E53AC9">
        <w:rPr>
          <w:rFonts w:hint="cs"/>
          <w:rtl/>
        </w:rPr>
        <w:t xml:space="preserve">إدخال </w:t>
      </w:r>
      <w:r w:rsidR="007541BE">
        <w:rPr>
          <w:rtl/>
        </w:rPr>
        <w:t>تحسينات</w:t>
      </w:r>
      <w:r w:rsidR="00D10CD1">
        <w:rPr>
          <w:rFonts w:hint="cs"/>
          <w:rtl/>
        </w:rPr>
        <w:t xml:space="preserve"> على التقارير</w:t>
      </w:r>
      <w:r w:rsidR="007541BE">
        <w:rPr>
          <w:rtl/>
        </w:rPr>
        <w:t xml:space="preserve"> (انظر الفقرات</w:t>
      </w:r>
      <w:r w:rsidR="00E53AC9">
        <w:rPr>
          <w:rFonts w:hint="cs"/>
          <w:rtl/>
        </w:rPr>
        <w:t xml:space="preserve"> من</w:t>
      </w:r>
      <w:r w:rsidR="007541BE">
        <w:rPr>
          <w:rtl/>
        </w:rPr>
        <w:t xml:space="preserve"> 59 إلى 61 من الوثيقة </w:t>
      </w:r>
      <w:r w:rsidR="00E53AC9" w:rsidRPr="00E53AC9">
        <w:t>SCIT/SDWG/6/11</w:t>
      </w:r>
      <w:r w:rsidR="007541BE">
        <w:rPr>
          <w:rtl/>
        </w:rPr>
        <w:t xml:space="preserve">). وقد أدى ذلك إلى </w:t>
      </w:r>
      <w:r w:rsidR="004252CB">
        <w:rPr>
          <w:rFonts w:hint="cs"/>
          <w:rtl/>
        </w:rPr>
        <w:t xml:space="preserve">إجراء </w:t>
      </w:r>
      <w:r w:rsidR="007541BE">
        <w:rPr>
          <w:rtl/>
        </w:rPr>
        <w:t xml:space="preserve">تنقيحات هيكلية </w:t>
      </w:r>
      <w:r w:rsidR="004252CB">
        <w:rPr>
          <w:rFonts w:hint="cs"/>
          <w:rtl/>
        </w:rPr>
        <w:t xml:space="preserve">على </w:t>
      </w:r>
      <w:r w:rsidR="007541BE">
        <w:rPr>
          <w:rtl/>
        </w:rPr>
        <w:t xml:space="preserve">استبيانات </w:t>
      </w:r>
      <w:r w:rsidR="004252CB" w:rsidRPr="004252CB">
        <w:rPr>
          <w:rtl/>
        </w:rPr>
        <w:t xml:space="preserve">التقارير التقنية السنوية </w:t>
      </w:r>
      <w:r w:rsidR="007541BE">
        <w:rPr>
          <w:rtl/>
        </w:rPr>
        <w:t>في</w:t>
      </w:r>
      <w:r w:rsidR="004252CB">
        <w:rPr>
          <w:rFonts w:hint="cs"/>
          <w:rtl/>
        </w:rPr>
        <w:t xml:space="preserve"> فترة</w:t>
      </w:r>
      <w:r w:rsidR="007541BE">
        <w:rPr>
          <w:rtl/>
        </w:rPr>
        <w:t xml:space="preserve"> 2007-2008 و2010، وهي آخر التحديثات </w:t>
      </w:r>
      <w:r w:rsidR="004252CB">
        <w:rPr>
          <w:rFonts w:hint="cs"/>
          <w:rtl/>
        </w:rPr>
        <w:t>البارزة التي خضعت لها</w:t>
      </w:r>
      <w:r w:rsidR="007541BE">
        <w:rPr>
          <w:rtl/>
        </w:rPr>
        <w:t xml:space="preserve"> </w:t>
      </w:r>
      <w:r w:rsidR="004252CB" w:rsidRPr="004252CB">
        <w:rPr>
          <w:rtl/>
        </w:rPr>
        <w:t xml:space="preserve">التقارير التقنية السنوية </w:t>
      </w:r>
      <w:r w:rsidR="007541BE">
        <w:rPr>
          <w:rtl/>
        </w:rPr>
        <w:t>(انظر الفقر</w:t>
      </w:r>
      <w:r w:rsidR="00F16A5A">
        <w:rPr>
          <w:rFonts w:hint="cs"/>
          <w:rtl/>
        </w:rPr>
        <w:t>تين</w:t>
      </w:r>
      <w:r w:rsidR="007541BE">
        <w:rPr>
          <w:rtl/>
        </w:rPr>
        <w:t xml:space="preserve"> 47 </w:t>
      </w:r>
      <w:r w:rsidR="00F16A5A">
        <w:rPr>
          <w:rFonts w:hint="cs"/>
          <w:rtl/>
        </w:rPr>
        <w:t>و</w:t>
      </w:r>
      <w:r w:rsidR="007541BE">
        <w:rPr>
          <w:rtl/>
        </w:rPr>
        <w:t xml:space="preserve">48 من الوثيقة </w:t>
      </w:r>
      <w:r w:rsidR="00F16A5A" w:rsidRPr="00F16A5A">
        <w:t>CWS/1/10</w:t>
      </w:r>
      <w:r w:rsidR="007541BE">
        <w:rPr>
          <w:rtl/>
        </w:rPr>
        <w:t>).</w:t>
      </w:r>
    </w:p>
    <w:p w14:paraId="1D5E6150" w14:textId="29EC6BEB" w:rsidR="007541BE" w:rsidRDefault="00D10CD1" w:rsidP="007541BE">
      <w:pPr>
        <w:pStyle w:val="ONUMA"/>
        <w:rPr>
          <w:rtl/>
        </w:rPr>
      </w:pPr>
      <w:r>
        <w:rPr>
          <w:rFonts w:hint="cs"/>
          <w:rtl/>
        </w:rPr>
        <w:t>و</w:t>
      </w:r>
      <w:r w:rsidR="007541BE">
        <w:rPr>
          <w:rtl/>
        </w:rPr>
        <w:t xml:space="preserve">وفقًا لهذه الوثائق، </w:t>
      </w:r>
      <w:r>
        <w:rPr>
          <w:rFonts w:hint="cs"/>
          <w:rtl/>
        </w:rPr>
        <w:t>فإن</w:t>
      </w:r>
      <w:r w:rsidR="007541BE">
        <w:rPr>
          <w:rtl/>
        </w:rPr>
        <w:t xml:space="preserve"> نفس القضايا التي </w:t>
      </w:r>
      <w:r>
        <w:rPr>
          <w:rFonts w:hint="cs"/>
          <w:rtl/>
        </w:rPr>
        <w:t>تنظر</w:t>
      </w:r>
      <w:r w:rsidR="007541BE">
        <w:rPr>
          <w:rtl/>
        </w:rPr>
        <w:t xml:space="preserve"> فيها حاليًا </w:t>
      </w:r>
      <w:r>
        <w:rPr>
          <w:rFonts w:hint="cs"/>
          <w:rtl/>
        </w:rPr>
        <w:t>لجنة المعايير</w:t>
      </w:r>
      <w:r w:rsidR="00E63AB8">
        <w:rPr>
          <w:rFonts w:hint="cs"/>
          <w:rtl/>
        </w:rPr>
        <w:t xml:space="preserve"> قد نُظر</w:t>
      </w:r>
      <w:r w:rsidR="007541BE">
        <w:rPr>
          <w:rtl/>
        </w:rPr>
        <w:t xml:space="preserve"> في</w:t>
      </w:r>
      <w:r w:rsidR="00E63AB8">
        <w:rPr>
          <w:rFonts w:hint="cs"/>
          <w:rtl/>
        </w:rPr>
        <w:t>ها في</w:t>
      </w:r>
      <w:r w:rsidR="007541BE">
        <w:rPr>
          <w:rtl/>
        </w:rPr>
        <w:t xml:space="preserve"> الماضي. </w:t>
      </w:r>
      <w:r w:rsidR="00496AB4">
        <w:rPr>
          <w:rFonts w:hint="cs"/>
          <w:rtl/>
        </w:rPr>
        <w:t>فق</w:t>
      </w:r>
      <w:r w:rsidR="00F779D8">
        <w:rPr>
          <w:rFonts w:hint="cs"/>
          <w:rtl/>
        </w:rPr>
        <w:t>د</w:t>
      </w:r>
      <w:r w:rsidR="00496AB4">
        <w:rPr>
          <w:rFonts w:hint="cs"/>
          <w:rtl/>
        </w:rPr>
        <w:t xml:space="preserve"> أُجريت</w:t>
      </w:r>
      <w:r w:rsidR="007541BE">
        <w:rPr>
          <w:rtl/>
        </w:rPr>
        <w:t xml:space="preserve"> التغييرات عدة مرات لمحاولة تحسين </w:t>
      </w:r>
      <w:r w:rsidR="00496AB4">
        <w:rPr>
          <w:rFonts w:hint="cs"/>
          <w:rtl/>
        </w:rPr>
        <w:t>النفاذ</w:t>
      </w:r>
      <w:r w:rsidR="007541BE">
        <w:rPr>
          <w:rtl/>
        </w:rPr>
        <w:t xml:space="preserve"> إلى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</w:t>
      </w:r>
      <w:r w:rsidR="00496AB4">
        <w:rPr>
          <w:rFonts w:hint="cs"/>
          <w:rtl/>
        </w:rPr>
        <w:t>وانتشارها</w:t>
      </w:r>
      <w:r w:rsidR="007541BE">
        <w:rPr>
          <w:rtl/>
        </w:rPr>
        <w:t xml:space="preserve"> وفائدتها، بما في ذلك: الانتقال إلى النشر </w:t>
      </w:r>
      <w:r w:rsidR="00496AB4">
        <w:rPr>
          <w:rFonts w:hint="cs"/>
          <w:rtl/>
        </w:rPr>
        <w:t>الإلكتروني</w:t>
      </w:r>
      <w:r w:rsidR="007541BE">
        <w:rPr>
          <w:rtl/>
        </w:rPr>
        <w:t xml:space="preserve">، </w:t>
      </w:r>
      <w:r w:rsidR="00496AB4">
        <w:rPr>
          <w:rFonts w:hint="cs"/>
          <w:rtl/>
        </w:rPr>
        <w:t>وتحميلها</w:t>
      </w:r>
      <w:r w:rsidR="007541BE">
        <w:rPr>
          <w:rtl/>
        </w:rPr>
        <w:t xml:space="preserve"> </w:t>
      </w:r>
      <w:r w:rsidR="00496AB4">
        <w:rPr>
          <w:rFonts w:hint="cs"/>
          <w:rtl/>
        </w:rPr>
        <w:t>عبر منصة الويكي</w:t>
      </w:r>
      <w:r w:rsidR="007541BE">
        <w:rPr>
          <w:rtl/>
        </w:rPr>
        <w:t xml:space="preserve">، وتحسين </w:t>
      </w:r>
      <w:r w:rsidR="00496AB4">
        <w:rPr>
          <w:rFonts w:hint="cs"/>
          <w:rtl/>
        </w:rPr>
        <w:t>ظهورها في</w:t>
      </w:r>
      <w:r w:rsidR="007541BE">
        <w:rPr>
          <w:rtl/>
        </w:rPr>
        <w:t xml:space="preserve"> محرك</w:t>
      </w:r>
      <w:r w:rsidR="00496AB4">
        <w:rPr>
          <w:rFonts w:hint="cs"/>
          <w:rtl/>
        </w:rPr>
        <w:t>ات</w:t>
      </w:r>
      <w:r w:rsidR="007541BE">
        <w:rPr>
          <w:rtl/>
        </w:rPr>
        <w:t xml:space="preserve"> البحث، وتعديل محتويا</w:t>
      </w:r>
      <w:r w:rsidR="00496AB4">
        <w:rPr>
          <w:rFonts w:hint="cs"/>
          <w:rtl/>
        </w:rPr>
        <w:t>تها</w:t>
      </w:r>
      <w:r w:rsidR="007541BE">
        <w:rPr>
          <w:rtl/>
        </w:rPr>
        <w:t xml:space="preserve">. </w:t>
      </w:r>
      <w:r w:rsidR="000070C8">
        <w:rPr>
          <w:rFonts w:hint="cs"/>
          <w:rtl/>
        </w:rPr>
        <w:t>و</w:t>
      </w:r>
      <w:r w:rsidR="007541BE">
        <w:rPr>
          <w:rtl/>
        </w:rPr>
        <w:t xml:space="preserve">السؤال </w:t>
      </w:r>
      <w:r w:rsidR="000070C8">
        <w:rPr>
          <w:rFonts w:hint="cs"/>
          <w:rtl/>
        </w:rPr>
        <w:t>الجوهري الآن</w:t>
      </w:r>
      <w:r w:rsidR="007541BE">
        <w:rPr>
          <w:rtl/>
        </w:rPr>
        <w:t xml:space="preserve"> هو: هل كان لهذه التغييرات تأثير إيجابي على </w:t>
      </w:r>
      <w:r w:rsidR="00747A77">
        <w:rPr>
          <w:rtl/>
        </w:rPr>
        <w:t>التقارير التقنية السنوية</w:t>
      </w:r>
      <w:r w:rsidR="007541BE">
        <w:rPr>
          <w:rtl/>
        </w:rPr>
        <w:t>؟</w:t>
      </w:r>
    </w:p>
    <w:p w14:paraId="48C7FB1A" w14:textId="77777777" w:rsidR="007541BE" w:rsidRPr="00063B87" w:rsidRDefault="007541BE" w:rsidP="00063B87">
      <w:pPr>
        <w:pStyle w:val="Heading2"/>
        <w:rPr>
          <w:i/>
          <w:iCs w:val="0"/>
          <w:rtl/>
          <w:lang w:eastAsia="en-US"/>
        </w:rPr>
      </w:pPr>
      <w:r w:rsidRPr="00063B87">
        <w:rPr>
          <w:i/>
          <w:iCs w:val="0"/>
          <w:rtl/>
          <w:lang w:eastAsia="en-US"/>
        </w:rPr>
        <w:t>الوضع الراهن</w:t>
      </w:r>
    </w:p>
    <w:p w14:paraId="3AF8E166" w14:textId="14A68F6E" w:rsidR="007541BE" w:rsidRDefault="00F779D8" w:rsidP="007541BE">
      <w:pPr>
        <w:pStyle w:val="ONUMA"/>
        <w:rPr>
          <w:rtl/>
        </w:rPr>
      </w:pPr>
      <w:r>
        <w:rPr>
          <w:rFonts w:hint="cs"/>
          <w:rtl/>
        </w:rPr>
        <w:t>شهدت</w:t>
      </w:r>
      <w:r w:rsidR="007541BE">
        <w:rPr>
          <w:rtl/>
        </w:rPr>
        <w:t xml:space="preserve"> بيئة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</w:t>
      </w:r>
      <w:r>
        <w:rPr>
          <w:rFonts w:hint="cs"/>
          <w:rtl/>
        </w:rPr>
        <w:t>في عام 2021 تغييرا</w:t>
      </w:r>
      <w:r w:rsidR="007541BE">
        <w:rPr>
          <w:rtl/>
        </w:rPr>
        <w:t xml:space="preserve"> ملحوظ</w:t>
      </w:r>
      <w:r>
        <w:rPr>
          <w:rFonts w:hint="cs"/>
          <w:rtl/>
        </w:rPr>
        <w:t>ا</w:t>
      </w:r>
      <w:r w:rsidR="007541BE">
        <w:rPr>
          <w:rtl/>
        </w:rPr>
        <w:t xml:space="preserve"> منذ إنشائها. </w:t>
      </w:r>
      <w:r w:rsidR="00FC438C">
        <w:rPr>
          <w:rFonts w:hint="cs"/>
          <w:rtl/>
        </w:rPr>
        <w:t xml:space="preserve">فقد </w:t>
      </w:r>
      <w:r w:rsidR="00845572">
        <w:rPr>
          <w:rFonts w:hint="cs"/>
          <w:rtl/>
        </w:rPr>
        <w:t>أصبح</w:t>
      </w:r>
      <w:r w:rsidR="00FC438C">
        <w:rPr>
          <w:rFonts w:hint="cs"/>
          <w:rtl/>
        </w:rPr>
        <w:t>ت</w:t>
      </w:r>
      <w:r w:rsidR="007541BE">
        <w:rPr>
          <w:rtl/>
        </w:rPr>
        <w:t xml:space="preserve"> </w:t>
      </w:r>
      <w:r w:rsidR="00845572">
        <w:rPr>
          <w:rFonts w:hint="cs"/>
          <w:rtl/>
        </w:rPr>
        <w:t>المنشورات الإلكترونية</w:t>
      </w:r>
      <w:r w:rsidR="007541BE">
        <w:rPr>
          <w:rtl/>
        </w:rPr>
        <w:t xml:space="preserve"> أمرًا عاديًا، </w:t>
      </w:r>
      <w:r w:rsidR="0091145F">
        <w:rPr>
          <w:rFonts w:hint="cs"/>
          <w:rtl/>
        </w:rPr>
        <w:t xml:space="preserve">كما </w:t>
      </w:r>
      <w:r w:rsidR="007541BE">
        <w:rPr>
          <w:rtl/>
        </w:rPr>
        <w:t xml:space="preserve">تنشر العديد من مكاتب الملكية الفكرية تقارير </w:t>
      </w:r>
      <w:r w:rsidR="0091145F">
        <w:rPr>
          <w:rFonts w:hint="cs"/>
          <w:rtl/>
        </w:rPr>
        <w:t xml:space="preserve">تقنية </w:t>
      </w:r>
      <w:r w:rsidR="007541BE">
        <w:rPr>
          <w:rtl/>
        </w:rPr>
        <w:t xml:space="preserve">سنوية تحتوي على الكثير من المعلومات. </w:t>
      </w:r>
      <w:r w:rsidR="00FC438C">
        <w:rPr>
          <w:rFonts w:hint="cs"/>
          <w:rtl/>
        </w:rPr>
        <w:t>في حين تُتاح</w:t>
      </w:r>
      <w:r w:rsidR="007541BE">
        <w:rPr>
          <w:rtl/>
        </w:rPr>
        <w:t xml:space="preserve"> أدوات الترجمة الآلية على نطاق واسع وأصبحت متطورة </w:t>
      </w:r>
      <w:r w:rsidR="00FC438C">
        <w:rPr>
          <w:rFonts w:hint="cs"/>
          <w:rtl/>
        </w:rPr>
        <w:t>أكثر</w:t>
      </w:r>
      <w:r w:rsidR="007541BE">
        <w:rPr>
          <w:rtl/>
        </w:rPr>
        <w:t xml:space="preserve">، مما يجعل </w:t>
      </w:r>
      <w:r w:rsidR="00FC438C">
        <w:rPr>
          <w:rFonts w:hint="cs"/>
          <w:rtl/>
        </w:rPr>
        <w:t>النفاذ</w:t>
      </w:r>
      <w:r w:rsidR="007541BE">
        <w:rPr>
          <w:rtl/>
        </w:rPr>
        <w:t xml:space="preserve"> إلى </w:t>
      </w:r>
      <w:r w:rsidR="00FC438C">
        <w:rPr>
          <w:rFonts w:hint="cs"/>
          <w:rtl/>
        </w:rPr>
        <w:t>المنشورات</w:t>
      </w:r>
      <w:r w:rsidR="007541BE">
        <w:rPr>
          <w:rtl/>
        </w:rPr>
        <w:t xml:space="preserve"> أسهل للمتحدثين بلغات أخرى. </w:t>
      </w:r>
      <w:r w:rsidR="00FC438C">
        <w:rPr>
          <w:rFonts w:hint="cs"/>
          <w:rtl/>
        </w:rPr>
        <w:t>و</w:t>
      </w:r>
      <w:r w:rsidR="007541BE">
        <w:rPr>
          <w:rtl/>
        </w:rPr>
        <w:t xml:space="preserve">تتناول هذه العوامل العديد من الاحتياجات التي كان من المفترض أن تفي بها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في الأصل.</w:t>
      </w:r>
    </w:p>
    <w:p w14:paraId="78EBCE6F" w14:textId="7A661010" w:rsidR="007541BE" w:rsidRDefault="00FC438C" w:rsidP="007541BE">
      <w:pPr>
        <w:pStyle w:val="ONUMA"/>
        <w:rPr>
          <w:rtl/>
        </w:rPr>
      </w:pPr>
      <w:r>
        <w:rPr>
          <w:rFonts w:hint="cs"/>
          <w:rtl/>
        </w:rPr>
        <w:t>و</w:t>
      </w:r>
      <w:r w:rsidR="007541BE">
        <w:rPr>
          <w:rtl/>
        </w:rPr>
        <w:t xml:space="preserve">السؤال الذي يطرح نفسه بعد ذلك: ما مدى استخدام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في السنوات الأخيرة؟ إذا </w:t>
      </w:r>
      <w:r w:rsidR="00016BDB">
        <w:rPr>
          <w:rFonts w:hint="cs"/>
          <w:rtl/>
        </w:rPr>
        <w:t>كان هناك</w:t>
      </w:r>
      <w:r w:rsidR="007541BE">
        <w:rPr>
          <w:rtl/>
        </w:rPr>
        <w:t xml:space="preserve"> ارتفاع </w:t>
      </w:r>
      <w:r w:rsidR="00016BDB">
        <w:rPr>
          <w:rFonts w:hint="cs"/>
          <w:rtl/>
        </w:rPr>
        <w:t xml:space="preserve">في </w:t>
      </w:r>
      <w:r w:rsidR="007541BE">
        <w:rPr>
          <w:rtl/>
        </w:rPr>
        <w:t xml:space="preserve">الطلب على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، فهذا يشير إلى أنها ربما لا تزال </w:t>
      </w:r>
      <w:r w:rsidR="00016BDB">
        <w:rPr>
          <w:rFonts w:hint="cs"/>
          <w:rtl/>
        </w:rPr>
        <w:t>تفي</w:t>
      </w:r>
      <w:r w:rsidR="007541BE">
        <w:rPr>
          <w:rtl/>
        </w:rPr>
        <w:t xml:space="preserve"> </w:t>
      </w:r>
      <w:r w:rsidR="00016BDB">
        <w:rPr>
          <w:rFonts w:hint="cs"/>
          <w:rtl/>
        </w:rPr>
        <w:t>ب</w:t>
      </w:r>
      <w:r w:rsidR="007541BE">
        <w:rPr>
          <w:rtl/>
        </w:rPr>
        <w:t xml:space="preserve">احتياجات مهمة، حتى لو كانت مختلفة عن الغرض الأصلي. </w:t>
      </w:r>
      <w:r w:rsidR="00016BDB">
        <w:rPr>
          <w:rFonts w:hint="cs"/>
          <w:rtl/>
        </w:rPr>
        <w:t>و</w:t>
      </w:r>
      <w:r w:rsidR="007541BE">
        <w:rPr>
          <w:rtl/>
        </w:rPr>
        <w:t xml:space="preserve">إذا </w:t>
      </w:r>
      <w:r w:rsidR="00016BDB">
        <w:rPr>
          <w:rFonts w:hint="cs"/>
          <w:rtl/>
        </w:rPr>
        <w:t>كان هناك انخفاض في الطلب عليها</w:t>
      </w:r>
      <w:r w:rsidR="007541BE">
        <w:rPr>
          <w:rtl/>
        </w:rPr>
        <w:t xml:space="preserve">، فقد يشير ذلك إلى أن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ليست مفيدة كما كانت في الماضي. </w:t>
      </w:r>
      <w:r w:rsidR="00170361">
        <w:rPr>
          <w:rFonts w:hint="cs"/>
          <w:rtl/>
        </w:rPr>
        <w:t>و</w:t>
      </w:r>
      <w:r w:rsidR="007541BE">
        <w:rPr>
          <w:rtl/>
        </w:rPr>
        <w:t xml:space="preserve">يمكننا </w:t>
      </w:r>
      <w:r w:rsidR="00170361">
        <w:rPr>
          <w:rFonts w:hint="cs"/>
          <w:rtl/>
        </w:rPr>
        <w:t>الإجابة عن</w:t>
      </w:r>
      <w:r w:rsidR="007541BE">
        <w:rPr>
          <w:rtl/>
        </w:rPr>
        <w:t xml:space="preserve"> هذا السؤال ببيانات تجريبية من جانبين: </w:t>
      </w:r>
      <w:r w:rsidR="00671D94">
        <w:rPr>
          <w:rFonts w:hint="cs"/>
          <w:rtl/>
        </w:rPr>
        <w:t>مصْدِري</w:t>
      </w:r>
      <w:r w:rsidR="007541BE">
        <w:rPr>
          <w:rtl/>
        </w:rPr>
        <w:t xml:space="preserve"> </w:t>
      </w:r>
      <w:r w:rsidR="00170361">
        <w:rPr>
          <w:rFonts w:hint="cs"/>
          <w:rtl/>
        </w:rPr>
        <w:t>التقارير التقنية السنوية (مكاتب الملكية الفكرية)</w:t>
      </w:r>
      <w:r w:rsidR="007541BE">
        <w:rPr>
          <w:rtl/>
        </w:rPr>
        <w:t xml:space="preserve"> ومستهلكي</w:t>
      </w:r>
      <w:r w:rsidR="00671D94">
        <w:rPr>
          <w:rFonts w:hint="cs"/>
          <w:rtl/>
        </w:rPr>
        <w:t>ها</w:t>
      </w:r>
      <w:r w:rsidR="007541BE">
        <w:rPr>
          <w:rtl/>
        </w:rPr>
        <w:t xml:space="preserve"> (المستخدمين النهائيين).</w:t>
      </w:r>
    </w:p>
    <w:p w14:paraId="2E6D9430" w14:textId="1742ED06" w:rsidR="00170361" w:rsidRPr="00170361" w:rsidRDefault="00672685" w:rsidP="00170361">
      <w:pPr>
        <w:pStyle w:val="Heading2"/>
        <w:rPr>
          <w:i/>
          <w:iCs w:val="0"/>
          <w:rtl/>
          <w:lang w:eastAsia="en-US"/>
        </w:rPr>
      </w:pPr>
      <w:r>
        <w:rPr>
          <w:rFonts w:hint="cs"/>
          <w:i/>
          <w:iCs w:val="0"/>
          <w:rtl/>
          <w:lang w:eastAsia="en-US" w:bidi="ar-EG"/>
        </w:rPr>
        <w:t>مصدِرو</w:t>
      </w:r>
      <w:r w:rsidR="00671D94">
        <w:rPr>
          <w:rFonts w:hint="cs"/>
          <w:i/>
          <w:iCs w:val="0"/>
          <w:rtl/>
          <w:lang w:eastAsia="en-US" w:bidi="ar-EG"/>
        </w:rPr>
        <w:t xml:space="preserve"> </w:t>
      </w:r>
      <w:r w:rsidR="00170361" w:rsidRPr="00170361">
        <w:rPr>
          <w:i/>
          <w:iCs w:val="0"/>
          <w:rtl/>
          <w:lang w:eastAsia="en-US"/>
        </w:rPr>
        <w:t xml:space="preserve">التقارير التقنية السنوية </w:t>
      </w:r>
    </w:p>
    <w:p w14:paraId="1E1BFE03" w14:textId="6F202CE5" w:rsidR="007541BE" w:rsidRDefault="00672685" w:rsidP="00145007">
      <w:pPr>
        <w:pStyle w:val="ONUMA"/>
        <w:rPr>
          <w:rtl/>
        </w:rPr>
      </w:pPr>
      <w:r>
        <w:rPr>
          <w:rFonts w:hint="cs"/>
          <w:rtl/>
        </w:rPr>
        <w:t>من ناحية المصدرين</w:t>
      </w:r>
      <w:r w:rsidR="007541BE">
        <w:rPr>
          <w:rtl/>
        </w:rPr>
        <w:t xml:space="preserve">، </w:t>
      </w:r>
      <w:r>
        <w:rPr>
          <w:rFonts w:hint="cs"/>
          <w:rtl/>
        </w:rPr>
        <w:t>تواصل انخفاض إصدار</w:t>
      </w:r>
      <w:r w:rsidR="007541BE">
        <w:rPr>
          <w:rtl/>
        </w:rPr>
        <w:t xml:space="preserve"> </w:t>
      </w:r>
      <w:r w:rsidRPr="00672685">
        <w:rPr>
          <w:rtl/>
        </w:rPr>
        <w:t xml:space="preserve">التقارير التقنية السنوية </w:t>
      </w:r>
      <w:r w:rsidR="007541BE">
        <w:rPr>
          <w:rtl/>
        </w:rPr>
        <w:t xml:space="preserve">على مر السنين. </w:t>
      </w:r>
      <w:r>
        <w:rPr>
          <w:rFonts w:hint="cs"/>
          <w:rtl/>
        </w:rPr>
        <w:t>فقد كان</w:t>
      </w:r>
      <w:r w:rsidR="00BE735D">
        <w:rPr>
          <w:rFonts w:hint="cs"/>
          <w:rtl/>
        </w:rPr>
        <w:t xml:space="preserve"> أكثر من 50 مكتبا من</w:t>
      </w:r>
      <w:r>
        <w:rPr>
          <w:rFonts w:hint="cs"/>
          <w:rtl/>
        </w:rPr>
        <w:t xml:space="preserve"> مكاتب الملكية الفكرية تُصدر تقريرا سنويا كل سنة في الأعوام </w:t>
      </w:r>
      <w:r w:rsidR="007541BE">
        <w:rPr>
          <w:rtl/>
        </w:rPr>
        <w:t xml:space="preserve">من 1998 إلى 2001. </w:t>
      </w:r>
      <w:r w:rsidR="00BE735D">
        <w:rPr>
          <w:rFonts w:hint="cs"/>
          <w:rtl/>
        </w:rPr>
        <w:t xml:space="preserve">وانطلاقا </w:t>
      </w:r>
      <w:r w:rsidR="007541BE">
        <w:rPr>
          <w:rtl/>
        </w:rPr>
        <w:t xml:space="preserve">من عام 2002 إلى عام 2007، قدم ما متوسطه 42 مكتبًا تقارير </w:t>
      </w:r>
      <w:r w:rsidR="00BE735D">
        <w:rPr>
          <w:rFonts w:hint="cs"/>
          <w:rtl/>
        </w:rPr>
        <w:t>تقنية سنوية</w:t>
      </w:r>
      <w:r w:rsidR="007541BE">
        <w:rPr>
          <w:rtl/>
        </w:rPr>
        <w:t xml:space="preserve">. </w:t>
      </w:r>
      <w:r w:rsidR="00BE735D">
        <w:rPr>
          <w:rFonts w:hint="cs"/>
          <w:rtl/>
        </w:rPr>
        <w:t>وتراجع</w:t>
      </w:r>
      <w:r w:rsidR="007541BE">
        <w:rPr>
          <w:rtl/>
        </w:rPr>
        <w:t xml:space="preserve"> هذا إلى متوسط ​​31 مكتبًا بين عامي 2008 و2013. وفي الفترة من 2014 إلى 2018، </w:t>
      </w:r>
      <w:r w:rsidR="00BE735D">
        <w:rPr>
          <w:rFonts w:hint="cs"/>
          <w:rtl/>
        </w:rPr>
        <w:t>تواصل تراجع</w:t>
      </w:r>
      <w:r w:rsidR="007541BE">
        <w:rPr>
          <w:rtl/>
        </w:rPr>
        <w:t xml:space="preserve"> عدد المكاتب من 23 في 2014 إلى 11 فقط في 2018. </w:t>
      </w:r>
      <w:r w:rsidR="00BE735D">
        <w:rPr>
          <w:rFonts w:hint="cs"/>
          <w:rtl/>
        </w:rPr>
        <w:t>و</w:t>
      </w:r>
      <w:r w:rsidR="007541BE">
        <w:rPr>
          <w:rtl/>
        </w:rPr>
        <w:t xml:space="preserve">عادت </w:t>
      </w:r>
      <w:r w:rsidR="00747A77">
        <w:rPr>
          <w:rtl/>
        </w:rPr>
        <w:t>التقارير التقنية السنوية</w:t>
      </w:r>
      <w:r w:rsidR="007541BE">
        <w:rPr>
          <w:rtl/>
        </w:rPr>
        <w:t xml:space="preserve"> لعام 2020 إلى مستويات 2018، </w:t>
      </w:r>
      <w:r w:rsidR="00757896">
        <w:rPr>
          <w:rFonts w:hint="cs"/>
          <w:rtl/>
        </w:rPr>
        <w:t>حيث يقدم التقارير</w:t>
      </w:r>
      <w:r w:rsidR="007541BE">
        <w:rPr>
          <w:rtl/>
        </w:rPr>
        <w:t xml:space="preserve"> 11 مكتبًا فقط. </w:t>
      </w:r>
      <w:r w:rsidR="00BA2F59">
        <w:rPr>
          <w:rFonts w:hint="cs"/>
          <w:rtl/>
        </w:rPr>
        <w:t>و</w:t>
      </w:r>
      <w:r w:rsidR="007541BE">
        <w:rPr>
          <w:rtl/>
        </w:rPr>
        <w:t xml:space="preserve">يوضح الرسم البياني التالي </w:t>
      </w:r>
      <w:r w:rsidR="00BA2F59">
        <w:rPr>
          <w:rFonts w:hint="cs"/>
          <w:rtl/>
        </w:rPr>
        <w:t>مستويات التراجع</w:t>
      </w:r>
      <w:r w:rsidR="007541BE">
        <w:rPr>
          <w:rtl/>
        </w:rPr>
        <w:t xml:space="preserve"> منذ عام 1998.</w:t>
      </w:r>
    </w:p>
    <w:p w14:paraId="40672F93" w14:textId="23BEC1FE" w:rsidR="00145007" w:rsidRDefault="006D578E" w:rsidP="007541BE">
      <w:pPr>
        <w:pStyle w:val="ONUMA"/>
        <w:numPr>
          <w:ilvl w:val="0"/>
          <w:numId w:val="0"/>
        </w:numPr>
      </w:pPr>
      <w:r>
        <w:rPr>
          <w:noProof/>
          <w:lang w:eastAsia="zh-CN"/>
        </w:rPr>
        <w:drawing>
          <wp:inline distT="0" distB="0" distL="0" distR="0" wp14:anchorId="68250217" wp14:editId="6B7CBEBC">
            <wp:extent cx="5940425" cy="3412031"/>
            <wp:effectExtent l="0" t="0" r="3175" b="171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24CB33" w14:textId="20FBFBE6" w:rsidR="00F10917" w:rsidRPr="00F10917" w:rsidRDefault="00EE3485" w:rsidP="00F10917">
      <w:pPr>
        <w:pStyle w:val="ONUMA"/>
      </w:pPr>
      <w:r>
        <w:rPr>
          <w:rFonts w:hint="cs"/>
          <w:rtl/>
        </w:rPr>
        <w:t>وكاستثناء من التوجه السائد</w:t>
      </w:r>
      <w:r w:rsidR="00F10917" w:rsidRPr="00F10917">
        <w:rPr>
          <w:rtl/>
        </w:rPr>
        <w:t xml:space="preserve">، ارتفع </w:t>
      </w:r>
      <w:r w:rsidRPr="00F10917">
        <w:rPr>
          <w:rtl/>
        </w:rPr>
        <w:t xml:space="preserve">قليلاً </w:t>
      </w:r>
      <w:r>
        <w:rPr>
          <w:rFonts w:hint="cs"/>
          <w:rtl/>
        </w:rPr>
        <w:t>عدد المكاتب</w:t>
      </w:r>
      <w:r w:rsidR="00F10917" w:rsidRPr="00F10917">
        <w:rPr>
          <w:rtl/>
        </w:rPr>
        <w:t xml:space="preserve"> </w:t>
      </w:r>
      <w:r>
        <w:rPr>
          <w:rFonts w:hint="cs"/>
          <w:rtl/>
        </w:rPr>
        <w:t>المصدرة للتقارير التقنية السنوية</w:t>
      </w:r>
      <w:r w:rsidR="00F10917" w:rsidRPr="00F10917">
        <w:rPr>
          <w:rtl/>
        </w:rPr>
        <w:t xml:space="preserve"> </w:t>
      </w:r>
      <w:r w:rsidR="00FE0962">
        <w:rPr>
          <w:rFonts w:hint="cs"/>
          <w:rtl/>
        </w:rPr>
        <w:t>عام 2019</w:t>
      </w:r>
      <w:r w:rsidR="00F10917" w:rsidRPr="00F10917">
        <w:rPr>
          <w:rtl/>
        </w:rPr>
        <w:t xml:space="preserve"> </w:t>
      </w:r>
      <w:r w:rsidR="00FE0962">
        <w:rPr>
          <w:rFonts w:hint="cs"/>
          <w:rtl/>
        </w:rPr>
        <w:t>ليصل إلى</w:t>
      </w:r>
      <w:r w:rsidR="00F10917" w:rsidRPr="00F10917">
        <w:rPr>
          <w:rtl/>
        </w:rPr>
        <w:t xml:space="preserve"> 18 مكتبًا. </w:t>
      </w:r>
      <w:r w:rsidR="00926F77">
        <w:rPr>
          <w:rFonts w:hint="cs"/>
          <w:rtl/>
        </w:rPr>
        <w:t>وجُمعت تلك التقارير</w:t>
      </w:r>
      <w:r w:rsidR="00F10917" w:rsidRPr="00F10917">
        <w:rPr>
          <w:rtl/>
        </w:rPr>
        <w:t xml:space="preserve"> في عام 2020 أثناء جائحة </w:t>
      </w:r>
      <w:r w:rsidR="00926F77">
        <w:rPr>
          <w:rFonts w:hint="cs"/>
          <w:rtl/>
        </w:rPr>
        <w:t>كوفيد-19</w:t>
      </w:r>
      <w:r w:rsidR="00F10917" w:rsidRPr="00F10917">
        <w:rPr>
          <w:rtl/>
        </w:rPr>
        <w:t xml:space="preserve">. </w:t>
      </w:r>
      <w:r w:rsidR="00523F0D">
        <w:rPr>
          <w:rFonts w:hint="cs"/>
          <w:rtl/>
        </w:rPr>
        <w:t>و</w:t>
      </w:r>
      <w:r w:rsidR="00F10917" w:rsidRPr="00F10917">
        <w:rPr>
          <w:rtl/>
        </w:rPr>
        <w:t xml:space="preserve">يبدو أن </w:t>
      </w:r>
      <w:r w:rsidR="00C91838">
        <w:rPr>
          <w:rFonts w:hint="cs"/>
          <w:rtl/>
        </w:rPr>
        <w:t>ارتفاع</w:t>
      </w:r>
      <w:r w:rsidR="00F10917" w:rsidRPr="00F10917">
        <w:rPr>
          <w:rtl/>
        </w:rPr>
        <w:t xml:space="preserve"> عام 2019 كان نتيجة مؤقتة</w:t>
      </w:r>
      <w:r w:rsidR="00C91838">
        <w:rPr>
          <w:rFonts w:hint="cs"/>
          <w:rtl/>
        </w:rPr>
        <w:t xml:space="preserve"> فقط</w:t>
      </w:r>
      <w:r w:rsidR="00F10917" w:rsidRPr="00F10917">
        <w:rPr>
          <w:rtl/>
        </w:rPr>
        <w:t xml:space="preserve"> لأن </w:t>
      </w:r>
      <w:r w:rsidR="00C91838">
        <w:rPr>
          <w:rFonts w:hint="cs"/>
          <w:rtl/>
        </w:rPr>
        <w:t>المنحنى التصاعدي لم يستمر</w:t>
      </w:r>
      <w:r w:rsidR="00F10917" w:rsidRPr="00F10917">
        <w:rPr>
          <w:rtl/>
        </w:rPr>
        <w:t xml:space="preserve">. </w:t>
      </w:r>
      <w:r w:rsidR="006704E2">
        <w:rPr>
          <w:rFonts w:hint="cs"/>
          <w:rtl/>
        </w:rPr>
        <w:t>و</w:t>
      </w:r>
      <w:r w:rsidR="00F10917" w:rsidRPr="00F10917">
        <w:rPr>
          <w:rtl/>
        </w:rPr>
        <w:t xml:space="preserve">تراجعت </w:t>
      </w:r>
      <w:r w:rsidR="006704E2">
        <w:rPr>
          <w:rFonts w:hint="cs"/>
          <w:rtl/>
        </w:rPr>
        <w:t>التقارير</w:t>
      </w:r>
      <w:r w:rsidR="00F10917" w:rsidRPr="00F10917">
        <w:rPr>
          <w:rtl/>
        </w:rPr>
        <w:t xml:space="preserve"> لعام 2020 (التي تم جمعها في عام 2021) إلى أدنى مستوياتها التاريخية.</w:t>
      </w:r>
    </w:p>
    <w:p w14:paraId="6294144E" w14:textId="18DB80CE" w:rsidR="00F10917" w:rsidRPr="00F10917" w:rsidRDefault="00523F0D" w:rsidP="00F10917">
      <w:pPr>
        <w:pStyle w:val="ONUMA"/>
      </w:pPr>
      <w:r>
        <w:rPr>
          <w:rFonts w:hint="cs"/>
          <w:rtl/>
        </w:rPr>
        <w:t>و</w:t>
      </w:r>
      <w:r w:rsidR="00F10917" w:rsidRPr="00F10917">
        <w:rPr>
          <w:rtl/>
        </w:rPr>
        <w:t xml:space="preserve">استنادًا إلى البيانات، يبدو أن تراجع مشاركة </w:t>
      </w:r>
      <w:r>
        <w:rPr>
          <w:rFonts w:hint="cs"/>
          <w:rtl/>
        </w:rPr>
        <w:t>مكاتب الملكية الفكرية</w:t>
      </w:r>
      <w:r w:rsidR="00F10917" w:rsidRPr="00F10917">
        <w:rPr>
          <w:rtl/>
        </w:rPr>
        <w:t xml:space="preserve"> يشير إلى أن</w:t>
      </w:r>
      <w:r w:rsidR="00A13497">
        <w:rPr>
          <w:rFonts w:hint="cs"/>
          <w:rtl/>
        </w:rPr>
        <w:t>ها لا تنظر إلى</w:t>
      </w:r>
      <w:r w:rsidR="00F10917" w:rsidRPr="00F10917">
        <w:rPr>
          <w:rtl/>
        </w:rPr>
        <w:t xml:space="preserve"> </w:t>
      </w:r>
      <w:r>
        <w:rPr>
          <w:rFonts w:hint="cs"/>
          <w:rtl/>
        </w:rPr>
        <w:t>التقارير التقنية السنوية</w:t>
      </w:r>
      <w:r w:rsidR="00F10917" w:rsidRPr="00F10917">
        <w:rPr>
          <w:rtl/>
        </w:rPr>
        <w:t xml:space="preserve"> بنفس الأهمية التي كانت عليها قبل 20 عامًا</w:t>
      </w:r>
      <w:r w:rsidR="00A13497">
        <w:rPr>
          <w:rFonts w:hint="cs"/>
          <w:rtl/>
        </w:rPr>
        <w:t>.</w:t>
      </w:r>
    </w:p>
    <w:p w14:paraId="65DBD7B0" w14:textId="6EAE38A2" w:rsidR="00F10917" w:rsidRPr="00E15D73" w:rsidRDefault="00F10917" w:rsidP="00E15D73">
      <w:pPr>
        <w:pStyle w:val="Heading2"/>
        <w:rPr>
          <w:i/>
          <w:iCs w:val="0"/>
          <w:lang w:eastAsia="en-US"/>
        </w:rPr>
      </w:pPr>
      <w:r w:rsidRPr="00E15D73">
        <w:rPr>
          <w:i/>
          <w:iCs w:val="0"/>
          <w:rtl/>
          <w:lang w:eastAsia="en-US"/>
        </w:rPr>
        <w:t xml:space="preserve">مستخدمو </w:t>
      </w:r>
      <w:r w:rsidR="00E15D73" w:rsidRPr="00E15D73">
        <w:rPr>
          <w:rFonts w:hint="cs"/>
          <w:i/>
          <w:iCs w:val="0"/>
          <w:rtl/>
          <w:lang w:eastAsia="en-US"/>
        </w:rPr>
        <w:t>التقارير التقنية السنوية</w:t>
      </w:r>
    </w:p>
    <w:p w14:paraId="3DEE7598" w14:textId="551D8896" w:rsidR="00F10917" w:rsidRPr="00F10917" w:rsidRDefault="00F10917" w:rsidP="00F10917">
      <w:pPr>
        <w:pStyle w:val="ONUMA"/>
      </w:pPr>
      <w:r w:rsidRPr="00F10917">
        <w:rPr>
          <w:rtl/>
        </w:rPr>
        <w:t>من جانب المستخدم</w:t>
      </w:r>
      <w:r w:rsidR="00021B01">
        <w:rPr>
          <w:rFonts w:hint="cs"/>
          <w:rtl/>
        </w:rPr>
        <w:t>ين</w:t>
      </w:r>
      <w:r w:rsidRPr="00F10917">
        <w:rPr>
          <w:rtl/>
        </w:rPr>
        <w:t xml:space="preserve">، تُظهر إحصائيات </w:t>
      </w:r>
      <w:r w:rsidR="00021B01">
        <w:rPr>
          <w:rFonts w:hint="cs"/>
          <w:rtl/>
        </w:rPr>
        <w:t xml:space="preserve">زيارة الصفحة الإلكترونية </w:t>
      </w:r>
      <w:r w:rsidR="00A474F0">
        <w:rPr>
          <w:rFonts w:hint="cs"/>
          <w:rtl/>
        </w:rPr>
        <w:t>الخاصة با</w:t>
      </w:r>
      <w:r w:rsidR="00021B01">
        <w:rPr>
          <w:rFonts w:hint="cs"/>
          <w:rtl/>
        </w:rPr>
        <w:t>لتقارير التقنية السنوية</w:t>
      </w:r>
      <w:r w:rsidRPr="00F10917">
        <w:rPr>
          <w:rtl/>
        </w:rPr>
        <w:t xml:space="preserve"> </w:t>
      </w:r>
      <w:r w:rsidR="00021B01">
        <w:rPr>
          <w:rFonts w:hint="cs"/>
          <w:rtl/>
        </w:rPr>
        <w:t>نفس التوجه</w:t>
      </w:r>
      <w:r w:rsidRPr="00F10917">
        <w:rPr>
          <w:rtl/>
        </w:rPr>
        <w:t xml:space="preserve">. </w:t>
      </w:r>
      <w:r w:rsidR="002266E1">
        <w:rPr>
          <w:rFonts w:hint="cs"/>
          <w:rtl/>
        </w:rPr>
        <w:t xml:space="preserve">وتُتاح </w:t>
      </w:r>
      <w:r w:rsidRPr="00F10917">
        <w:rPr>
          <w:rtl/>
        </w:rPr>
        <w:t xml:space="preserve">إحصاءات </w:t>
      </w:r>
      <w:r w:rsidR="002266E1">
        <w:rPr>
          <w:rFonts w:hint="cs"/>
          <w:rtl/>
        </w:rPr>
        <w:t>الصفحة الإلكترونية</w:t>
      </w:r>
      <w:r w:rsidRPr="00F10917">
        <w:rPr>
          <w:rtl/>
        </w:rPr>
        <w:t xml:space="preserve"> للأمانة العامة من السنة التقويمية 2017 حتى الوقت الحاضر. </w:t>
      </w:r>
      <w:r w:rsidR="002266E1">
        <w:rPr>
          <w:rFonts w:hint="cs"/>
          <w:rtl/>
        </w:rPr>
        <w:t>و</w:t>
      </w:r>
      <w:r w:rsidRPr="00F10917">
        <w:rPr>
          <w:rtl/>
        </w:rPr>
        <w:t xml:space="preserve">تُستثنى إحصاءات عام 2021 من الحسابات بسبب توفر </w:t>
      </w:r>
      <w:r w:rsidR="002266E1">
        <w:rPr>
          <w:rFonts w:hint="cs"/>
          <w:rtl/>
        </w:rPr>
        <w:t xml:space="preserve">بيانات تغطي </w:t>
      </w:r>
      <w:r w:rsidRPr="00F10917">
        <w:rPr>
          <w:rtl/>
        </w:rPr>
        <w:t>سبعة أشهر فقط، لكن الأرقام حتى الآن تتماشى مع السنوات السابقة.</w:t>
      </w:r>
    </w:p>
    <w:p w14:paraId="234C1E7C" w14:textId="6937CFA5" w:rsidR="00F10917" w:rsidRDefault="00166C69" w:rsidP="00F10917">
      <w:pPr>
        <w:pStyle w:val="ONUMA"/>
      </w:pPr>
      <w:r>
        <w:rPr>
          <w:rFonts w:hint="cs"/>
          <w:rtl/>
        </w:rPr>
        <w:t>و</w:t>
      </w:r>
      <w:r w:rsidRPr="00166C69">
        <w:rPr>
          <w:rtl/>
        </w:rPr>
        <w:t xml:space="preserve">تُظهر إحصائيات زيارة الصفحة الإلكترونية </w:t>
      </w:r>
      <w:r w:rsidR="00A474F0">
        <w:rPr>
          <w:rFonts w:hint="cs"/>
          <w:rtl/>
        </w:rPr>
        <w:t>الخاصة با</w:t>
      </w:r>
      <w:r w:rsidRPr="00166C69">
        <w:rPr>
          <w:rtl/>
        </w:rPr>
        <w:t xml:space="preserve">لتقارير التقنية السنوية </w:t>
      </w:r>
      <w:r w:rsidR="00F10917" w:rsidRPr="00F10917">
        <w:rPr>
          <w:rtl/>
        </w:rPr>
        <w:t>في كل عام</w:t>
      </w:r>
      <w:r>
        <w:rPr>
          <w:rFonts w:hint="cs"/>
          <w:rtl/>
        </w:rPr>
        <w:t xml:space="preserve"> </w:t>
      </w:r>
      <w:r w:rsidR="00F10917" w:rsidRPr="00F10917">
        <w:rPr>
          <w:rtl/>
        </w:rPr>
        <w:t xml:space="preserve">نفس </w:t>
      </w:r>
      <w:r>
        <w:rPr>
          <w:rFonts w:hint="cs"/>
          <w:rtl/>
        </w:rPr>
        <w:t>التوجه</w:t>
      </w:r>
      <w:r w:rsidR="00F10917" w:rsidRPr="00F10917">
        <w:rPr>
          <w:rtl/>
        </w:rPr>
        <w:t xml:space="preserve">. </w:t>
      </w:r>
      <w:r>
        <w:rPr>
          <w:rFonts w:hint="cs"/>
          <w:rtl/>
        </w:rPr>
        <w:t>وي</w:t>
      </w:r>
      <w:r w:rsidR="00F10917" w:rsidRPr="00F10917">
        <w:rPr>
          <w:rtl/>
        </w:rPr>
        <w:t xml:space="preserve">ظهر الرسم البياني التالي </w:t>
      </w:r>
      <w:r w:rsidR="00A778CB">
        <w:rPr>
          <w:rFonts w:hint="cs"/>
          <w:rtl/>
        </w:rPr>
        <w:t>إحصاءات</w:t>
      </w:r>
      <w:r w:rsidR="00A778CB" w:rsidRPr="00A778CB">
        <w:rPr>
          <w:rtl/>
        </w:rPr>
        <w:t xml:space="preserve"> عام 2019</w:t>
      </w:r>
      <w:r w:rsidR="00A778CB">
        <w:rPr>
          <w:rFonts w:hint="cs"/>
          <w:rtl/>
        </w:rPr>
        <w:t xml:space="preserve"> بشأن </w:t>
      </w:r>
      <w:r>
        <w:rPr>
          <w:rFonts w:hint="cs"/>
          <w:rtl/>
        </w:rPr>
        <w:t>زيارات</w:t>
      </w:r>
      <w:r w:rsidR="00F10917" w:rsidRPr="00F10917">
        <w:rPr>
          <w:rtl/>
        </w:rPr>
        <w:t xml:space="preserve"> الصفحة</w:t>
      </w:r>
      <w:r>
        <w:rPr>
          <w:rFonts w:hint="cs"/>
          <w:rtl/>
        </w:rPr>
        <w:t xml:space="preserve"> الإلكترونية</w:t>
      </w:r>
      <w:r w:rsidR="00F10917" w:rsidRPr="00F10917">
        <w:rPr>
          <w:rtl/>
        </w:rPr>
        <w:t xml:space="preserve"> </w:t>
      </w:r>
      <w:r>
        <w:rPr>
          <w:rFonts w:hint="cs"/>
          <w:rtl/>
        </w:rPr>
        <w:t xml:space="preserve">فيما يخص </w:t>
      </w:r>
      <w:r w:rsidR="00F10917" w:rsidRPr="00F10917">
        <w:rPr>
          <w:rtl/>
        </w:rPr>
        <w:t xml:space="preserve">جميع </w:t>
      </w:r>
      <w:r>
        <w:rPr>
          <w:rFonts w:hint="cs"/>
          <w:rtl/>
        </w:rPr>
        <w:t>ا</w:t>
      </w:r>
      <w:r w:rsidRPr="00166C69">
        <w:rPr>
          <w:rtl/>
        </w:rPr>
        <w:t xml:space="preserve">لتقارير التقنية السنوية </w:t>
      </w:r>
      <w:r w:rsidR="00F10917" w:rsidRPr="00F10917">
        <w:rPr>
          <w:rtl/>
        </w:rPr>
        <w:t xml:space="preserve">التي </w:t>
      </w:r>
      <w:r>
        <w:rPr>
          <w:rFonts w:hint="cs"/>
          <w:rtl/>
        </w:rPr>
        <w:t>جُمعت</w:t>
      </w:r>
      <w:r w:rsidR="00F10917" w:rsidRPr="00F10917">
        <w:rPr>
          <w:rtl/>
        </w:rPr>
        <w:t xml:space="preserve"> </w:t>
      </w:r>
      <w:r>
        <w:rPr>
          <w:rFonts w:hint="cs"/>
          <w:rtl/>
        </w:rPr>
        <w:t>كل عام</w:t>
      </w:r>
      <w:r w:rsidR="00F10917" w:rsidRPr="00F10917">
        <w:rPr>
          <w:rtl/>
        </w:rPr>
        <w:t>:</w:t>
      </w:r>
    </w:p>
    <w:p w14:paraId="76780A2C" w14:textId="6BC3740F" w:rsidR="00A474F0" w:rsidRPr="00F10917" w:rsidRDefault="00A778CB" w:rsidP="00A474F0">
      <w:pPr>
        <w:pStyle w:val="ONUMA"/>
        <w:numPr>
          <w:ilvl w:val="0"/>
          <w:numId w:val="0"/>
        </w:numPr>
      </w:pPr>
      <w:r w:rsidRPr="000740C3">
        <w:rPr>
          <w:noProof/>
          <w:lang w:eastAsia="zh-CN"/>
        </w:rPr>
        <w:drawing>
          <wp:inline distT="0" distB="0" distL="0" distR="0" wp14:anchorId="4448654D" wp14:editId="002E3F56">
            <wp:extent cx="4953000" cy="2476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DFA860" w14:textId="24EB1464" w:rsidR="00AE1EC1" w:rsidRDefault="00AE1EC1" w:rsidP="00AE1EC1">
      <w:pPr>
        <w:pStyle w:val="ONUMA"/>
      </w:pPr>
      <w:r>
        <w:rPr>
          <w:rFonts w:hint="cs"/>
          <w:rtl/>
          <w:lang w:bidi="ar-EG"/>
        </w:rPr>
        <w:t xml:space="preserve">وجُمعت </w:t>
      </w:r>
      <w:r>
        <w:rPr>
          <w:rtl/>
        </w:rPr>
        <w:t>خلال عام 201</w:t>
      </w:r>
      <w:r w:rsidR="006B11BA">
        <w:rPr>
          <w:rFonts w:hint="cs"/>
          <w:rtl/>
        </w:rPr>
        <w:t>9</w:t>
      </w:r>
      <w:r>
        <w:rPr>
          <w:rFonts w:hint="cs"/>
          <w:rtl/>
        </w:rPr>
        <w:t xml:space="preserve"> التقارير التقنية السنوية الصادرة في ا</w:t>
      </w:r>
      <w:r>
        <w:rPr>
          <w:rtl/>
        </w:rPr>
        <w:t xml:space="preserve">لسنة التقويمية السابقة (2018). </w:t>
      </w:r>
      <w:r w:rsidR="00447765">
        <w:rPr>
          <w:rFonts w:hint="cs"/>
          <w:rtl/>
        </w:rPr>
        <w:t>وكانت تلك التقارير الثانية من حيث</w:t>
      </w:r>
      <w:r>
        <w:rPr>
          <w:rtl/>
        </w:rPr>
        <w:t xml:space="preserve"> عدد </w:t>
      </w:r>
      <w:r w:rsidR="00447765">
        <w:rPr>
          <w:rFonts w:hint="cs"/>
          <w:rtl/>
        </w:rPr>
        <w:t>الزيارات</w:t>
      </w:r>
      <w:r>
        <w:rPr>
          <w:rtl/>
        </w:rPr>
        <w:t xml:space="preserve"> </w:t>
      </w:r>
      <w:r w:rsidR="00447765">
        <w:rPr>
          <w:rFonts w:hint="cs"/>
          <w:rtl/>
        </w:rPr>
        <w:t>حسب</w:t>
      </w:r>
      <w:r>
        <w:rPr>
          <w:rtl/>
        </w:rPr>
        <w:t xml:space="preserve"> إحصائيات </w:t>
      </w:r>
      <w:r w:rsidR="00447765">
        <w:rPr>
          <w:rFonts w:hint="cs"/>
          <w:rtl/>
        </w:rPr>
        <w:t>الصفحة الإلكترونية</w:t>
      </w:r>
      <w:r>
        <w:rPr>
          <w:rtl/>
        </w:rPr>
        <w:t xml:space="preserve"> لعام 2019</w:t>
      </w:r>
      <w:r w:rsidR="00191076">
        <w:rPr>
          <w:rtl/>
        </w:rPr>
        <w:t>،</w:t>
      </w:r>
      <w:r>
        <w:rPr>
          <w:rtl/>
        </w:rPr>
        <w:t xml:space="preserve"> لأن الصفحات تُنشر في منتصف العام. </w:t>
      </w:r>
      <w:r w:rsidR="004A293D">
        <w:rPr>
          <w:rFonts w:hint="cs"/>
          <w:rtl/>
        </w:rPr>
        <w:t>وكانت</w:t>
      </w:r>
      <w:r>
        <w:rPr>
          <w:rtl/>
        </w:rPr>
        <w:t xml:space="preserve"> التقارير التقنية السنوية من العام السابق (2017) </w:t>
      </w:r>
      <w:r w:rsidR="004A293D">
        <w:rPr>
          <w:rFonts w:hint="cs"/>
          <w:rtl/>
        </w:rPr>
        <w:t>الأعلى من حيث عدد الزيارات</w:t>
      </w:r>
      <w:r w:rsidR="00191076">
        <w:rPr>
          <w:rtl/>
        </w:rPr>
        <w:t>،</w:t>
      </w:r>
      <w:r>
        <w:rPr>
          <w:rtl/>
        </w:rPr>
        <w:t xml:space="preserve"> لأنها متاحة لعام 2019 بالكامل </w:t>
      </w:r>
      <w:r w:rsidR="006B11BA">
        <w:rPr>
          <w:rFonts w:hint="cs"/>
          <w:rtl/>
        </w:rPr>
        <w:t>من أنها تُعد</w:t>
      </w:r>
      <w:r>
        <w:rPr>
          <w:rtl/>
        </w:rPr>
        <w:t xml:space="preserve"> أحدث التقارير التقنية السنوية </w:t>
      </w:r>
      <w:r w:rsidR="004A293D">
        <w:rPr>
          <w:rFonts w:hint="cs"/>
          <w:rtl/>
        </w:rPr>
        <w:t xml:space="preserve">التي تغطي </w:t>
      </w:r>
      <w:r>
        <w:rPr>
          <w:rtl/>
        </w:rPr>
        <w:t xml:space="preserve">جزء من العام (حتى نشر التقارير التقنية السنوية الجديدة لعام 2018). </w:t>
      </w:r>
      <w:r w:rsidR="008D2F68">
        <w:rPr>
          <w:rFonts w:hint="cs"/>
          <w:rtl/>
        </w:rPr>
        <w:t>وتشهد زيارات الصفحات الإلكترونية الخاصة</w:t>
      </w:r>
      <w:r>
        <w:rPr>
          <w:rtl/>
        </w:rPr>
        <w:t xml:space="preserve"> </w:t>
      </w:r>
      <w:r w:rsidR="008D2F68">
        <w:rPr>
          <w:rFonts w:hint="cs"/>
          <w:rtl/>
        </w:rPr>
        <w:t>ب</w:t>
      </w:r>
      <w:r>
        <w:rPr>
          <w:rtl/>
        </w:rPr>
        <w:t xml:space="preserve">التقارير التقنية السنوية من السنوات السابقة (2016 إلى 2014) </w:t>
      </w:r>
      <w:r w:rsidR="008D2F68">
        <w:rPr>
          <w:rFonts w:hint="cs"/>
          <w:rtl/>
        </w:rPr>
        <w:t>انخفاضا مهولا</w:t>
      </w:r>
      <w:r>
        <w:rPr>
          <w:rtl/>
        </w:rPr>
        <w:t xml:space="preserve"> </w:t>
      </w:r>
      <w:r w:rsidR="00FB6373">
        <w:rPr>
          <w:rFonts w:hint="cs"/>
          <w:rtl/>
        </w:rPr>
        <w:t>وذلك راجع إلى تقادم</w:t>
      </w:r>
      <w:r>
        <w:rPr>
          <w:rtl/>
        </w:rPr>
        <w:t xml:space="preserve"> المعلومات.</w:t>
      </w:r>
    </w:p>
    <w:p w14:paraId="3B8BF352" w14:textId="036EBBA0" w:rsidR="00BD2EC9" w:rsidRPr="00BC3EAF" w:rsidRDefault="008B1E0F" w:rsidP="00BC3EAF">
      <w:pPr>
        <w:pStyle w:val="ONUMA"/>
      </w:pPr>
      <w:r>
        <w:rPr>
          <w:rFonts w:hint="cs"/>
          <w:rtl/>
        </w:rPr>
        <w:t xml:space="preserve">ويسود نفس </w:t>
      </w:r>
      <w:r w:rsidR="006B11BA" w:rsidRPr="006B11BA">
        <w:rPr>
          <w:rtl/>
        </w:rPr>
        <w:t xml:space="preserve">الاتجاه بالنسبة لجميع السنوات </w:t>
      </w:r>
      <w:r w:rsidR="00FA308C">
        <w:rPr>
          <w:rFonts w:hint="cs"/>
          <w:rtl/>
        </w:rPr>
        <w:t>اعتمادا على بياناتنا</w:t>
      </w:r>
      <w:r>
        <w:rPr>
          <w:rFonts w:hint="cs"/>
          <w:rtl/>
        </w:rPr>
        <w:t xml:space="preserve"> </w:t>
      </w:r>
      <w:r w:rsidR="00FA308C">
        <w:rPr>
          <w:rFonts w:hint="cs"/>
          <w:rtl/>
        </w:rPr>
        <w:t xml:space="preserve">المستعملة في </w:t>
      </w:r>
      <w:r w:rsidR="006B11BA" w:rsidRPr="006B11BA">
        <w:rPr>
          <w:rtl/>
        </w:rPr>
        <w:t xml:space="preserve">إحصائيات </w:t>
      </w:r>
      <w:r>
        <w:rPr>
          <w:rFonts w:hint="cs"/>
          <w:rtl/>
        </w:rPr>
        <w:t>زيارات الصفح</w:t>
      </w:r>
      <w:r w:rsidR="001C20CE">
        <w:rPr>
          <w:rFonts w:hint="cs"/>
          <w:rtl/>
        </w:rPr>
        <w:t>ات</w:t>
      </w:r>
      <w:r>
        <w:rPr>
          <w:rFonts w:hint="cs"/>
          <w:rtl/>
        </w:rPr>
        <w:t xml:space="preserve"> الإلكترونية</w:t>
      </w:r>
      <w:r w:rsidR="006B11BA" w:rsidRPr="006B11BA">
        <w:rPr>
          <w:rtl/>
        </w:rPr>
        <w:t xml:space="preserve"> (من 2017 إلى 2020). </w:t>
      </w:r>
      <w:r w:rsidR="00B21286">
        <w:rPr>
          <w:rFonts w:hint="cs"/>
          <w:rtl/>
        </w:rPr>
        <w:t>وتشهد</w:t>
      </w:r>
      <w:r w:rsidR="006B11BA" w:rsidRPr="006B11BA">
        <w:rPr>
          <w:rtl/>
        </w:rPr>
        <w:t xml:space="preserve"> </w:t>
      </w:r>
      <w:r w:rsidR="00B21286">
        <w:rPr>
          <w:rFonts w:hint="cs"/>
          <w:rtl/>
        </w:rPr>
        <w:t xml:space="preserve">التقارير التقنية السنوية </w:t>
      </w:r>
      <w:r w:rsidR="006B11BA" w:rsidRPr="006B11BA">
        <w:rPr>
          <w:rtl/>
        </w:rPr>
        <w:t xml:space="preserve">معظم الزيارات في أول عامين من </w:t>
      </w:r>
      <w:r w:rsidR="00B21286">
        <w:rPr>
          <w:rFonts w:hint="cs"/>
          <w:rtl/>
        </w:rPr>
        <w:t>نشرها</w:t>
      </w:r>
      <w:r w:rsidR="006B11BA" w:rsidRPr="006B11BA">
        <w:rPr>
          <w:rtl/>
        </w:rPr>
        <w:t xml:space="preserve">. </w:t>
      </w:r>
      <w:r w:rsidR="00D033D4">
        <w:rPr>
          <w:rFonts w:hint="cs"/>
          <w:rtl/>
        </w:rPr>
        <w:t>و</w:t>
      </w:r>
      <w:r w:rsidR="006B11BA" w:rsidRPr="006B11BA">
        <w:rPr>
          <w:rtl/>
        </w:rPr>
        <w:t xml:space="preserve">بعد ذلك، </w:t>
      </w:r>
      <w:r w:rsidR="00D033D4">
        <w:rPr>
          <w:rFonts w:hint="cs"/>
          <w:rtl/>
        </w:rPr>
        <w:t>يتراجع</w:t>
      </w:r>
      <w:r w:rsidR="006B11BA" w:rsidRPr="006B11BA">
        <w:rPr>
          <w:rtl/>
        </w:rPr>
        <w:t xml:space="preserve"> ​​عدد </w:t>
      </w:r>
      <w:r w:rsidR="00D033D4">
        <w:rPr>
          <w:rFonts w:hint="cs"/>
          <w:rtl/>
        </w:rPr>
        <w:t>الزيارات</w:t>
      </w:r>
      <w:r w:rsidR="006B11BA" w:rsidRPr="006B11BA">
        <w:rPr>
          <w:rtl/>
        </w:rPr>
        <w:t xml:space="preserve"> بسرعة إلى ما يق</w:t>
      </w:r>
      <w:r w:rsidR="00D033D4">
        <w:rPr>
          <w:rFonts w:hint="cs"/>
          <w:rtl/>
        </w:rPr>
        <w:t>ا</w:t>
      </w:r>
      <w:r w:rsidR="006B11BA" w:rsidRPr="006B11BA">
        <w:rPr>
          <w:rtl/>
        </w:rPr>
        <w:t xml:space="preserve">رب الصفر. </w:t>
      </w:r>
      <w:r w:rsidR="00ED01FF">
        <w:rPr>
          <w:rFonts w:hint="cs"/>
          <w:rtl/>
        </w:rPr>
        <w:t>و</w:t>
      </w:r>
      <w:r w:rsidR="006B11BA" w:rsidRPr="006B11BA">
        <w:rPr>
          <w:rtl/>
        </w:rPr>
        <w:t>س</w:t>
      </w:r>
      <w:r w:rsidR="00ED01FF">
        <w:rPr>
          <w:rFonts w:hint="cs"/>
          <w:rtl/>
        </w:rPr>
        <w:t>ت</w:t>
      </w:r>
      <w:r w:rsidR="006B11BA" w:rsidRPr="006B11BA">
        <w:rPr>
          <w:rtl/>
        </w:rPr>
        <w:t xml:space="preserve">ركز </w:t>
      </w:r>
      <w:r w:rsidR="00ED01FF">
        <w:rPr>
          <w:rFonts w:hint="cs"/>
          <w:rtl/>
        </w:rPr>
        <w:t>هذه الوثيقة</w:t>
      </w:r>
      <w:r w:rsidR="006B11BA" w:rsidRPr="006B11BA">
        <w:rPr>
          <w:rtl/>
        </w:rPr>
        <w:t xml:space="preserve"> على العامين الأول</w:t>
      </w:r>
      <w:r w:rsidR="008A0924">
        <w:rPr>
          <w:rFonts w:hint="cs"/>
          <w:rtl/>
        </w:rPr>
        <w:t>ي</w:t>
      </w:r>
      <w:r w:rsidR="006B11BA" w:rsidRPr="006B11BA">
        <w:rPr>
          <w:rtl/>
        </w:rPr>
        <w:t>ين</w:t>
      </w:r>
      <w:r w:rsidR="00ED01FF">
        <w:rPr>
          <w:rFonts w:hint="cs"/>
          <w:rtl/>
        </w:rPr>
        <w:t xml:space="preserve"> اللذين تشهد فيهما تلك التقارير</w:t>
      </w:r>
      <w:r w:rsidR="006B11BA" w:rsidRPr="006B11BA">
        <w:rPr>
          <w:rtl/>
        </w:rPr>
        <w:t xml:space="preserve"> معظم الزيارا</w:t>
      </w:r>
      <w:r w:rsidR="00ED01FF">
        <w:rPr>
          <w:rFonts w:hint="cs"/>
          <w:rtl/>
        </w:rPr>
        <w:t>ت</w:t>
      </w:r>
      <w:r w:rsidR="006B11BA" w:rsidRPr="006B11BA">
        <w:rPr>
          <w:rtl/>
        </w:rPr>
        <w:t xml:space="preserve">. </w:t>
      </w:r>
      <w:r w:rsidR="00A33988">
        <w:rPr>
          <w:rFonts w:hint="cs"/>
          <w:rtl/>
        </w:rPr>
        <w:t>و</w:t>
      </w:r>
      <w:r w:rsidR="006B11BA" w:rsidRPr="006B11BA">
        <w:rPr>
          <w:rtl/>
        </w:rPr>
        <w:t xml:space="preserve">يوضح </w:t>
      </w:r>
      <w:r w:rsidR="00A33988">
        <w:rPr>
          <w:rFonts w:hint="cs"/>
          <w:rtl/>
        </w:rPr>
        <w:t>الرسم البياني</w:t>
      </w:r>
      <w:r w:rsidR="006B11BA" w:rsidRPr="006B11BA">
        <w:rPr>
          <w:rtl/>
        </w:rPr>
        <w:t xml:space="preserve"> التالي إجمالي الزيارات التي تلقتها </w:t>
      </w:r>
      <w:r w:rsidR="00930A31">
        <w:rPr>
          <w:rFonts w:hint="cs"/>
          <w:rtl/>
        </w:rPr>
        <w:t>ال</w:t>
      </w:r>
      <w:r w:rsidR="006B11BA" w:rsidRPr="006B11BA">
        <w:rPr>
          <w:rtl/>
        </w:rPr>
        <w:t>صفحات</w:t>
      </w:r>
      <w:r w:rsidR="00930A31">
        <w:rPr>
          <w:rFonts w:hint="cs"/>
          <w:rtl/>
        </w:rPr>
        <w:t xml:space="preserve"> الإلكترونية لتلك</w:t>
      </w:r>
      <w:r w:rsidR="006B11BA" w:rsidRPr="006B11BA">
        <w:rPr>
          <w:rtl/>
        </w:rPr>
        <w:t xml:space="preserve"> </w:t>
      </w:r>
      <w:r w:rsidR="00930A31">
        <w:rPr>
          <w:rFonts w:hint="cs"/>
          <w:rtl/>
        </w:rPr>
        <w:t>التقارير</w:t>
      </w:r>
      <w:r w:rsidR="006B11BA" w:rsidRPr="006B11BA">
        <w:rPr>
          <w:rtl/>
        </w:rPr>
        <w:t xml:space="preserve"> خلال </w:t>
      </w:r>
      <w:r w:rsidR="008A0924">
        <w:rPr>
          <w:rtl/>
        </w:rPr>
        <w:t>العامين الأوليين</w:t>
      </w:r>
      <w:r w:rsidR="006B11BA" w:rsidRPr="006B11BA">
        <w:rPr>
          <w:rtl/>
        </w:rPr>
        <w:t xml:space="preserve"> من النشر (</w:t>
      </w:r>
      <w:r w:rsidR="00930A31">
        <w:rPr>
          <w:rFonts w:hint="cs"/>
          <w:rtl/>
        </w:rPr>
        <w:t>استثنيت تقارير</w:t>
      </w:r>
      <w:r w:rsidR="006B11BA" w:rsidRPr="006B11BA">
        <w:rPr>
          <w:rtl/>
        </w:rPr>
        <w:t xml:space="preserve"> عام 2019 لأنها نُشرت في فبراير 2021</w:t>
      </w:r>
      <w:r w:rsidR="00C511E5">
        <w:rPr>
          <w:rtl/>
        </w:rPr>
        <w:t>،</w:t>
      </w:r>
      <w:r w:rsidR="006B11BA" w:rsidRPr="006B11BA">
        <w:rPr>
          <w:rtl/>
        </w:rPr>
        <w:t xml:space="preserve"> </w:t>
      </w:r>
      <w:r w:rsidR="00044113">
        <w:rPr>
          <w:rFonts w:hint="cs"/>
          <w:rtl/>
        </w:rPr>
        <w:t>لذلك</w:t>
      </w:r>
      <w:r w:rsidR="006B11BA" w:rsidRPr="006B11BA">
        <w:rPr>
          <w:rtl/>
        </w:rPr>
        <w:t xml:space="preserve"> </w:t>
      </w:r>
      <w:r w:rsidR="00044113">
        <w:rPr>
          <w:rFonts w:hint="cs"/>
          <w:rtl/>
        </w:rPr>
        <w:t>تُتاح</w:t>
      </w:r>
      <w:r w:rsidR="006B11BA" w:rsidRPr="006B11BA">
        <w:rPr>
          <w:rtl/>
        </w:rPr>
        <w:t xml:space="preserve"> البيانات </w:t>
      </w:r>
      <w:r w:rsidR="00044113">
        <w:rPr>
          <w:rFonts w:hint="cs"/>
          <w:rtl/>
        </w:rPr>
        <w:t>التي تغطي</w:t>
      </w:r>
      <w:r w:rsidR="006B11BA" w:rsidRPr="006B11BA">
        <w:rPr>
          <w:rtl/>
        </w:rPr>
        <w:t xml:space="preserve"> ستة أشهر فقط</w:t>
      </w:r>
      <w:r w:rsidR="006B11BA">
        <w:rPr>
          <w:rFonts w:hint="cs"/>
          <w:rtl/>
        </w:rPr>
        <w:t>)</w:t>
      </w:r>
      <w:r w:rsidR="00AE1EC1">
        <w:rPr>
          <w:rtl/>
        </w:rPr>
        <w:t>.</w:t>
      </w:r>
    </w:p>
    <w:p w14:paraId="105155E9" w14:textId="7DD7EAB2" w:rsidR="002112DB" w:rsidRDefault="00BC3EAF" w:rsidP="00BC3EAF">
      <w:pPr>
        <w:pStyle w:val="ONUMA"/>
      </w:pPr>
      <w:r>
        <w:rPr>
          <w:noProof/>
          <w:lang w:eastAsia="zh-CN"/>
        </w:rPr>
        <w:drawing>
          <wp:anchor distT="0" distB="0" distL="114300" distR="114300" simplePos="0" relativeHeight="251687936" behindDoc="0" locked="0" layoutInCell="1" allowOverlap="1" wp14:anchorId="35FF7DA5" wp14:editId="2A56B627">
            <wp:simplePos x="0" y="0"/>
            <wp:positionH relativeFrom="margin">
              <wp:posOffset>1211123</wp:posOffset>
            </wp:positionH>
            <wp:positionV relativeFrom="paragraph">
              <wp:posOffset>-914</wp:posOffset>
            </wp:positionV>
            <wp:extent cx="4732020" cy="2677160"/>
            <wp:effectExtent l="0" t="0" r="0" b="889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3BF">
        <w:rPr>
          <w:rFonts w:hint="cs"/>
          <w:rtl/>
        </w:rPr>
        <w:t>و</w:t>
      </w:r>
      <w:r w:rsidR="002112DB">
        <w:rPr>
          <w:rFonts w:hint="cs"/>
          <w:rtl/>
        </w:rPr>
        <w:t xml:space="preserve">تُعتبر التقارير التقنية السنوية لعام </w:t>
      </w:r>
      <w:r w:rsidR="002112DB">
        <w:rPr>
          <w:rtl/>
        </w:rPr>
        <w:t xml:space="preserve">2018 أحدث </w:t>
      </w:r>
      <w:r w:rsidR="002112DB">
        <w:rPr>
          <w:rFonts w:hint="cs"/>
          <w:rtl/>
        </w:rPr>
        <w:t>التقارير التي</w:t>
      </w:r>
      <w:r w:rsidR="002112DB">
        <w:rPr>
          <w:rtl/>
        </w:rPr>
        <w:t xml:space="preserve"> </w:t>
      </w:r>
      <w:r w:rsidR="002112DB">
        <w:rPr>
          <w:rFonts w:hint="cs"/>
          <w:rtl/>
        </w:rPr>
        <w:t>تُتاح بشأنها</w:t>
      </w:r>
      <w:r w:rsidR="002112DB">
        <w:rPr>
          <w:rtl/>
        </w:rPr>
        <w:t xml:space="preserve"> إحصاءات </w:t>
      </w:r>
      <w:r w:rsidR="002112DB">
        <w:rPr>
          <w:rFonts w:hint="cs"/>
          <w:rtl/>
        </w:rPr>
        <w:t>الزيارات لعامين كاملين</w:t>
      </w:r>
      <w:r w:rsidR="002112DB">
        <w:rPr>
          <w:rtl/>
        </w:rPr>
        <w:t xml:space="preserve"> (</w:t>
      </w:r>
      <w:r w:rsidR="0020439E">
        <w:rPr>
          <w:rFonts w:hint="cs"/>
          <w:rtl/>
        </w:rPr>
        <w:t>الخاصة</w:t>
      </w:r>
      <w:r w:rsidR="002112DB">
        <w:rPr>
          <w:rtl/>
        </w:rPr>
        <w:t xml:space="preserve"> </w:t>
      </w:r>
      <w:r w:rsidR="0020439E">
        <w:rPr>
          <w:rFonts w:hint="cs"/>
          <w:rtl/>
        </w:rPr>
        <w:t>ب</w:t>
      </w:r>
      <w:r w:rsidR="002112DB">
        <w:rPr>
          <w:rtl/>
        </w:rPr>
        <w:t xml:space="preserve">العامين التقويميين 2019 و2020). </w:t>
      </w:r>
      <w:r w:rsidR="0020439E">
        <w:rPr>
          <w:rFonts w:hint="cs"/>
          <w:rtl/>
        </w:rPr>
        <w:t xml:space="preserve">وتلقت صفحات جميع تقارير 2018 </w:t>
      </w:r>
      <w:r w:rsidR="002112DB">
        <w:rPr>
          <w:rtl/>
        </w:rPr>
        <w:t>عام 2019، العام الأول لنشر</w:t>
      </w:r>
      <w:r w:rsidR="0020439E">
        <w:rPr>
          <w:rFonts w:hint="cs"/>
          <w:rtl/>
        </w:rPr>
        <w:t>ها</w:t>
      </w:r>
      <w:r w:rsidR="002112DB">
        <w:rPr>
          <w:rtl/>
        </w:rPr>
        <w:t xml:space="preserve">، ما مجموعه 105 </w:t>
      </w:r>
      <w:r w:rsidR="0020439E">
        <w:rPr>
          <w:rFonts w:hint="cs"/>
          <w:rtl/>
        </w:rPr>
        <w:t>زيارات</w:t>
      </w:r>
      <w:r w:rsidR="002112DB">
        <w:rPr>
          <w:rtl/>
        </w:rPr>
        <w:t xml:space="preserve">. </w:t>
      </w:r>
      <w:r w:rsidR="0020439E">
        <w:rPr>
          <w:rFonts w:hint="cs"/>
          <w:rtl/>
        </w:rPr>
        <w:t xml:space="preserve">وتلقت </w:t>
      </w:r>
      <w:r w:rsidR="002112DB">
        <w:rPr>
          <w:rtl/>
        </w:rPr>
        <w:t xml:space="preserve">في عام 2020، العام الثاني </w:t>
      </w:r>
      <w:r w:rsidR="0020439E">
        <w:rPr>
          <w:rFonts w:hint="cs"/>
          <w:rtl/>
        </w:rPr>
        <w:t>لنشرها</w:t>
      </w:r>
      <w:r w:rsidR="000C27A1">
        <w:rPr>
          <w:rtl/>
        </w:rPr>
        <w:t>،</w:t>
      </w:r>
      <w:r w:rsidR="002112DB">
        <w:rPr>
          <w:rtl/>
        </w:rPr>
        <w:t xml:space="preserve"> 265 </w:t>
      </w:r>
      <w:r w:rsidR="003D5315">
        <w:rPr>
          <w:rFonts w:hint="cs"/>
          <w:rtl/>
        </w:rPr>
        <w:t>زيارة</w:t>
      </w:r>
      <w:r w:rsidR="002112DB">
        <w:rPr>
          <w:rtl/>
        </w:rPr>
        <w:t xml:space="preserve">. </w:t>
      </w:r>
      <w:r w:rsidR="003E520C">
        <w:rPr>
          <w:rFonts w:hint="cs"/>
          <w:rtl/>
        </w:rPr>
        <w:t>وبالتالي يصل</w:t>
      </w:r>
      <w:r w:rsidR="002112DB">
        <w:rPr>
          <w:rtl/>
        </w:rPr>
        <w:t xml:space="preserve"> </w:t>
      </w:r>
      <w:r w:rsidR="003E520C">
        <w:rPr>
          <w:rFonts w:hint="cs"/>
          <w:rtl/>
        </w:rPr>
        <w:t>المجموع إلى</w:t>
      </w:r>
      <w:r w:rsidR="002112DB">
        <w:rPr>
          <w:rtl/>
        </w:rPr>
        <w:t xml:space="preserve"> 370 </w:t>
      </w:r>
      <w:r w:rsidR="003E520C">
        <w:rPr>
          <w:rFonts w:hint="cs"/>
          <w:rtl/>
        </w:rPr>
        <w:t xml:space="preserve">زيارة </w:t>
      </w:r>
      <w:r w:rsidR="002112DB">
        <w:rPr>
          <w:rtl/>
        </w:rPr>
        <w:t xml:space="preserve">خلال </w:t>
      </w:r>
      <w:r w:rsidR="008A0924">
        <w:rPr>
          <w:rtl/>
        </w:rPr>
        <w:t>العامين الأوليين</w:t>
      </w:r>
      <w:r w:rsidR="002112DB">
        <w:rPr>
          <w:rtl/>
        </w:rPr>
        <w:t xml:space="preserve"> من النشر. </w:t>
      </w:r>
      <w:r w:rsidR="006763B8">
        <w:rPr>
          <w:rFonts w:hint="cs"/>
          <w:rtl/>
        </w:rPr>
        <w:t>ويُتحصل على نفس مجموع عدد الزيارات بالنسبة لتقارير الأعوام</w:t>
      </w:r>
      <w:r w:rsidR="002112DB">
        <w:rPr>
          <w:rtl/>
        </w:rPr>
        <w:t xml:space="preserve"> الأخرى </w:t>
      </w:r>
      <w:r w:rsidR="006763B8">
        <w:rPr>
          <w:rFonts w:hint="cs"/>
          <w:rtl/>
        </w:rPr>
        <w:t>خلال</w:t>
      </w:r>
      <w:r w:rsidR="002112DB">
        <w:rPr>
          <w:rtl/>
        </w:rPr>
        <w:t xml:space="preserve"> </w:t>
      </w:r>
      <w:r w:rsidR="006763B8">
        <w:rPr>
          <w:rFonts w:hint="cs"/>
          <w:rtl/>
        </w:rPr>
        <w:t>ال</w:t>
      </w:r>
      <w:r w:rsidR="002112DB">
        <w:rPr>
          <w:rtl/>
        </w:rPr>
        <w:t>عامين</w:t>
      </w:r>
      <w:r w:rsidR="006763B8">
        <w:rPr>
          <w:rFonts w:hint="cs"/>
          <w:rtl/>
        </w:rPr>
        <w:t xml:space="preserve"> الأوليين</w:t>
      </w:r>
      <w:r w:rsidR="002112DB">
        <w:rPr>
          <w:rtl/>
        </w:rPr>
        <w:t xml:space="preserve"> من النشر. </w:t>
      </w:r>
      <w:r w:rsidR="00DD742D">
        <w:rPr>
          <w:rFonts w:hint="cs"/>
          <w:rtl/>
        </w:rPr>
        <w:t>و</w:t>
      </w:r>
      <w:r w:rsidR="002112DB">
        <w:rPr>
          <w:rtl/>
        </w:rPr>
        <w:t xml:space="preserve">يختلف التقسيم بين </w:t>
      </w:r>
      <w:r w:rsidR="00DD742D">
        <w:rPr>
          <w:rFonts w:hint="cs"/>
          <w:rtl/>
        </w:rPr>
        <w:t>زيارات</w:t>
      </w:r>
      <w:r w:rsidR="002112DB">
        <w:rPr>
          <w:rtl/>
        </w:rPr>
        <w:t xml:space="preserve"> العامين الأول والثاني </w:t>
      </w:r>
      <w:r w:rsidR="00DD742D">
        <w:rPr>
          <w:rFonts w:hint="cs"/>
          <w:rtl/>
        </w:rPr>
        <w:t>حسب</w:t>
      </w:r>
      <w:r w:rsidR="002112DB">
        <w:rPr>
          <w:rtl/>
        </w:rPr>
        <w:t xml:space="preserve"> </w:t>
      </w:r>
      <w:r w:rsidR="00DD742D">
        <w:rPr>
          <w:rFonts w:hint="cs"/>
          <w:rtl/>
        </w:rPr>
        <w:t>الوقت الذي نُشرت فيه التقارير</w:t>
      </w:r>
      <w:r w:rsidR="002112DB">
        <w:rPr>
          <w:rtl/>
        </w:rPr>
        <w:t xml:space="preserve"> خلال </w:t>
      </w:r>
      <w:r w:rsidR="003C43BF">
        <w:rPr>
          <w:rFonts w:hint="cs"/>
          <w:rtl/>
        </w:rPr>
        <w:t>ذلك</w:t>
      </w:r>
      <w:r w:rsidR="002112DB">
        <w:rPr>
          <w:rtl/>
        </w:rPr>
        <w:t xml:space="preserve"> </w:t>
      </w:r>
      <w:r w:rsidR="003C43BF">
        <w:rPr>
          <w:rFonts w:hint="cs"/>
          <w:rtl/>
        </w:rPr>
        <w:t>العام</w:t>
      </w:r>
      <w:r w:rsidR="000C27A1">
        <w:rPr>
          <w:rtl/>
        </w:rPr>
        <w:t>،</w:t>
      </w:r>
      <w:r w:rsidR="002112DB">
        <w:rPr>
          <w:rtl/>
        </w:rPr>
        <w:t xml:space="preserve"> لكن إجمالي العامين يظل في النطاق من 360 إلى 440</w:t>
      </w:r>
      <w:r w:rsidR="00192159">
        <w:rPr>
          <w:rFonts w:hint="cs"/>
          <w:rtl/>
        </w:rPr>
        <w:t xml:space="preserve"> زيارة</w:t>
      </w:r>
      <w:r w:rsidR="002112DB">
        <w:rPr>
          <w:rtl/>
        </w:rPr>
        <w:t>.</w:t>
      </w:r>
    </w:p>
    <w:p w14:paraId="1544A4EB" w14:textId="509F4280" w:rsidR="003D3463" w:rsidRPr="002112DB" w:rsidRDefault="00BC3EAF" w:rsidP="00A00332">
      <w:pPr>
        <w:pStyle w:val="ONUMA"/>
      </w:pPr>
      <w:r>
        <w:rPr>
          <w:noProof/>
          <w:lang w:eastAsia="zh-CN"/>
        </w:rPr>
        <w:drawing>
          <wp:anchor distT="0" distB="0" distL="114300" distR="114300" simplePos="0" relativeHeight="251685888" behindDoc="0" locked="0" layoutInCell="1" allowOverlap="1" wp14:anchorId="0BDF8F38" wp14:editId="4AAFEBF4">
            <wp:simplePos x="0" y="0"/>
            <wp:positionH relativeFrom="margin">
              <wp:align>right</wp:align>
            </wp:positionH>
            <wp:positionV relativeFrom="paragraph">
              <wp:posOffset>590905</wp:posOffset>
            </wp:positionV>
            <wp:extent cx="4740250" cy="2084502"/>
            <wp:effectExtent l="0" t="0" r="381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50" cy="208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6D7">
        <w:rPr>
          <w:rFonts w:hint="cs"/>
          <w:rtl/>
        </w:rPr>
        <w:t>و</w:t>
      </w:r>
      <w:r w:rsidR="002112DB">
        <w:rPr>
          <w:rtl/>
        </w:rPr>
        <w:t>بناءً على هذه البيانات</w:t>
      </w:r>
      <w:r w:rsidR="000C27A1">
        <w:rPr>
          <w:rtl/>
        </w:rPr>
        <w:t>،</w:t>
      </w:r>
      <w:r w:rsidR="002112DB">
        <w:rPr>
          <w:rtl/>
        </w:rPr>
        <w:t xml:space="preserve"> يبلغ متوسط ​​عدد </w:t>
      </w:r>
      <w:r w:rsidR="00CD56D7">
        <w:rPr>
          <w:rFonts w:hint="cs"/>
          <w:rtl/>
        </w:rPr>
        <w:t>زيارات</w:t>
      </w:r>
      <w:r w:rsidR="002112DB">
        <w:rPr>
          <w:rtl/>
        </w:rPr>
        <w:t xml:space="preserve"> </w:t>
      </w:r>
      <w:r w:rsidR="00CD56D7">
        <w:rPr>
          <w:rFonts w:hint="cs"/>
          <w:rtl/>
        </w:rPr>
        <w:t xml:space="preserve">صفحات التقارير </w:t>
      </w:r>
      <w:r w:rsidR="002112DB">
        <w:rPr>
          <w:rtl/>
        </w:rPr>
        <w:t xml:space="preserve">حوالي 180 </w:t>
      </w:r>
      <w:r w:rsidR="00CD56D7">
        <w:rPr>
          <w:rFonts w:hint="cs"/>
          <w:rtl/>
        </w:rPr>
        <w:t>زيارة</w:t>
      </w:r>
      <w:r w:rsidR="002112DB">
        <w:rPr>
          <w:rtl/>
        </w:rPr>
        <w:t xml:space="preserve"> في السنة في أول عامين. </w:t>
      </w:r>
      <w:r w:rsidR="00CD56D7">
        <w:rPr>
          <w:rFonts w:hint="cs"/>
          <w:rtl/>
        </w:rPr>
        <w:t>و</w:t>
      </w:r>
      <w:r w:rsidR="002112DB">
        <w:rPr>
          <w:rtl/>
        </w:rPr>
        <w:t xml:space="preserve">هذا رقم </w:t>
      </w:r>
      <w:r w:rsidR="00CD56D7">
        <w:rPr>
          <w:rFonts w:hint="cs"/>
          <w:rtl/>
        </w:rPr>
        <w:t>متدني</w:t>
      </w:r>
      <w:r w:rsidR="002112DB">
        <w:rPr>
          <w:rtl/>
        </w:rPr>
        <w:t xml:space="preserve"> للغاية. </w:t>
      </w:r>
      <w:r w:rsidR="006A5AAB">
        <w:rPr>
          <w:rFonts w:hint="cs"/>
          <w:rtl/>
        </w:rPr>
        <w:t>ولأغراض ال</w:t>
      </w:r>
      <w:r w:rsidR="002112DB">
        <w:rPr>
          <w:rtl/>
        </w:rPr>
        <w:t>مقارنة</w:t>
      </w:r>
      <w:r w:rsidR="000C27A1">
        <w:rPr>
          <w:rtl/>
        </w:rPr>
        <w:t>،</w:t>
      </w:r>
      <w:r w:rsidR="002112DB">
        <w:rPr>
          <w:rtl/>
        </w:rPr>
        <w:t xml:space="preserve"> فيما يلي </w:t>
      </w:r>
      <w:r w:rsidR="003D3463">
        <w:rPr>
          <w:rFonts w:hint="cs"/>
          <w:rtl/>
        </w:rPr>
        <w:t>عدد الزيارات في عام 2020 التي تلقتها الصفحات الإلكترونية التي تضم محتويات أخرى</w:t>
      </w:r>
      <w:r w:rsidR="002112DB">
        <w:rPr>
          <w:rtl/>
        </w:rPr>
        <w:t xml:space="preserve"> ذات </w:t>
      </w:r>
      <w:r w:rsidR="003D3463">
        <w:rPr>
          <w:rFonts w:hint="cs"/>
          <w:rtl/>
        </w:rPr>
        <w:t>صلة بلجنة المعايير</w:t>
      </w:r>
      <w:r w:rsidR="002112DB">
        <w:rPr>
          <w:rtl/>
        </w:rPr>
        <w:t>:</w:t>
      </w:r>
    </w:p>
    <w:p w14:paraId="0902B364" w14:textId="18498136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2C07E78A" w14:textId="34FB5D9B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6B12CBA9" w14:textId="64D4E8F9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56FA8554" w14:textId="312956B2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352342FD" w14:textId="69FAEFBD" w:rsidR="00445486" w:rsidRDefault="00445486" w:rsidP="00445486">
      <w:pPr>
        <w:pStyle w:val="ONUMA"/>
        <w:numPr>
          <w:ilvl w:val="0"/>
          <w:numId w:val="0"/>
        </w:numPr>
        <w:rPr>
          <w:i/>
          <w:iCs/>
          <w:lang w:bidi="ar-EG"/>
        </w:rPr>
      </w:pPr>
    </w:p>
    <w:p w14:paraId="0279D17F" w14:textId="65F81DF1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49460B59" w14:textId="77777777" w:rsidR="00A00332" w:rsidRDefault="00A00332" w:rsidP="000A67D0">
      <w:pPr>
        <w:pStyle w:val="ONUMA"/>
        <w:numPr>
          <w:ilvl w:val="0"/>
          <w:numId w:val="0"/>
        </w:numPr>
      </w:pPr>
    </w:p>
    <w:p w14:paraId="54ED7028" w14:textId="5ACC26FC" w:rsidR="000A67D0" w:rsidRDefault="00685559" w:rsidP="000A67D0">
      <w:pPr>
        <w:pStyle w:val="ONUMA"/>
      </w:pPr>
      <w:r>
        <w:rPr>
          <w:rFonts w:hint="cs"/>
          <w:rtl/>
        </w:rPr>
        <w:t>و</w:t>
      </w:r>
      <w:r w:rsidR="000A67D0">
        <w:rPr>
          <w:rFonts w:hint="cs"/>
          <w:rtl/>
        </w:rPr>
        <w:t>يتلقى</w:t>
      </w:r>
      <w:r w:rsidR="000A67D0">
        <w:rPr>
          <w:rtl/>
        </w:rPr>
        <w:t xml:space="preserve"> معيار الويبو </w:t>
      </w:r>
      <w:r w:rsidR="000A67D0">
        <w:t>ST.3</w:t>
      </w:r>
      <w:r w:rsidR="000A67D0">
        <w:rPr>
          <w:rtl/>
        </w:rPr>
        <w:t xml:space="preserve"> </w:t>
      </w:r>
      <w:r w:rsidR="00A2747B">
        <w:rPr>
          <w:rFonts w:hint="cs"/>
          <w:rtl/>
        </w:rPr>
        <w:t>حول</w:t>
      </w:r>
      <w:r w:rsidR="000A67D0">
        <w:rPr>
          <w:rtl/>
        </w:rPr>
        <w:t xml:space="preserve"> </w:t>
      </w:r>
      <w:r w:rsidR="00A2747B">
        <w:rPr>
          <w:rFonts w:hint="cs"/>
          <w:rtl/>
        </w:rPr>
        <w:t>الرموز</w:t>
      </w:r>
      <w:r w:rsidR="000A67D0">
        <w:rPr>
          <w:rtl/>
        </w:rPr>
        <w:t xml:space="preserve"> من حرفين </w:t>
      </w:r>
      <w:r w:rsidR="00941D48">
        <w:rPr>
          <w:rFonts w:hint="cs"/>
          <w:rtl/>
        </w:rPr>
        <w:t>لتمثيل</w:t>
      </w:r>
      <w:r w:rsidR="000A67D0">
        <w:rPr>
          <w:rFonts w:hint="cs"/>
          <w:rtl/>
        </w:rPr>
        <w:t xml:space="preserve"> الدول </w:t>
      </w:r>
      <w:r w:rsidR="00941D48">
        <w:rPr>
          <w:rFonts w:hint="cs"/>
          <w:rtl/>
        </w:rPr>
        <w:t>والكيانات</w:t>
      </w:r>
      <w:r w:rsidR="000A67D0">
        <w:rPr>
          <w:rtl/>
        </w:rPr>
        <w:t xml:space="preserve"> على أكبر عدد من </w:t>
      </w:r>
      <w:r w:rsidR="000A67D0">
        <w:rPr>
          <w:rFonts w:hint="cs"/>
          <w:rtl/>
        </w:rPr>
        <w:t>الزيارات</w:t>
      </w:r>
      <w:r w:rsidR="000A67D0">
        <w:rPr>
          <w:rtl/>
        </w:rPr>
        <w:t xml:space="preserve">، </w:t>
      </w:r>
      <w:r w:rsidR="000A67D0">
        <w:rPr>
          <w:rFonts w:hint="cs"/>
          <w:rtl/>
        </w:rPr>
        <w:t>حيث تصل عدد زياراته إلى</w:t>
      </w:r>
      <w:r w:rsidR="000A67D0">
        <w:rPr>
          <w:rtl/>
        </w:rPr>
        <w:t xml:space="preserve"> حوالي 30000 </w:t>
      </w:r>
      <w:r w:rsidR="000A67D0">
        <w:rPr>
          <w:rFonts w:hint="cs"/>
          <w:rtl/>
        </w:rPr>
        <w:t>زيارة</w:t>
      </w:r>
      <w:r w:rsidR="000A67D0">
        <w:rPr>
          <w:rtl/>
        </w:rPr>
        <w:t xml:space="preserve"> </w:t>
      </w:r>
      <w:r w:rsidR="00FF1CF7">
        <w:rPr>
          <w:rFonts w:hint="cs"/>
          <w:rtl/>
        </w:rPr>
        <w:t>سنويا</w:t>
      </w:r>
      <w:r w:rsidR="000A67D0">
        <w:rPr>
          <w:rtl/>
        </w:rPr>
        <w:t xml:space="preserve">. </w:t>
      </w:r>
      <w:r w:rsidR="00195B0E">
        <w:rPr>
          <w:rFonts w:hint="cs"/>
          <w:rtl/>
        </w:rPr>
        <w:t xml:space="preserve">أما </w:t>
      </w:r>
      <w:r w:rsidR="000A67D0">
        <w:rPr>
          <w:rtl/>
        </w:rPr>
        <w:t xml:space="preserve">الصفحة </w:t>
      </w:r>
      <w:r w:rsidR="00195B0E">
        <w:rPr>
          <w:rFonts w:hint="cs"/>
          <w:rtl/>
        </w:rPr>
        <w:t>الرئيسية</w:t>
      </w:r>
      <w:r w:rsidR="000A67D0">
        <w:rPr>
          <w:rtl/>
        </w:rPr>
        <w:t xml:space="preserve"> للمعايير، أشهر صفحات </w:t>
      </w:r>
      <w:r w:rsidR="00195B0E">
        <w:rPr>
          <w:rFonts w:hint="cs"/>
          <w:rtl/>
        </w:rPr>
        <w:t>الإلكترونية</w:t>
      </w:r>
      <w:r w:rsidR="000A67D0">
        <w:rPr>
          <w:rtl/>
        </w:rPr>
        <w:t xml:space="preserve">، </w:t>
      </w:r>
      <w:r w:rsidR="00DA4C40">
        <w:rPr>
          <w:rFonts w:hint="cs"/>
          <w:rtl/>
        </w:rPr>
        <w:t>فتتلقى</w:t>
      </w:r>
      <w:r w:rsidR="000A67D0">
        <w:rPr>
          <w:rtl/>
        </w:rPr>
        <w:t xml:space="preserve"> حوالي 10000 </w:t>
      </w:r>
      <w:r w:rsidR="00DA4C40">
        <w:rPr>
          <w:rFonts w:hint="cs"/>
          <w:rtl/>
        </w:rPr>
        <w:t>زيارة</w:t>
      </w:r>
      <w:r w:rsidR="000A67D0">
        <w:rPr>
          <w:rtl/>
        </w:rPr>
        <w:t xml:space="preserve"> سنويًا. </w:t>
      </w:r>
      <w:r w:rsidR="00FF1CF7">
        <w:rPr>
          <w:rFonts w:hint="cs"/>
          <w:rtl/>
        </w:rPr>
        <w:t>ويتلقى</w:t>
      </w:r>
      <w:r w:rsidR="000A67D0">
        <w:rPr>
          <w:rtl/>
        </w:rPr>
        <w:t xml:space="preserve"> معيار الويبو </w:t>
      </w:r>
      <w:r w:rsidR="000A67D0">
        <w:t>ST.96</w:t>
      </w:r>
      <w:r w:rsidR="000A67D0">
        <w:rPr>
          <w:rtl/>
        </w:rPr>
        <w:t xml:space="preserve"> </w:t>
      </w:r>
      <w:r w:rsidR="002C00A3">
        <w:rPr>
          <w:rFonts w:hint="cs"/>
          <w:rtl/>
        </w:rPr>
        <w:t>حول</w:t>
      </w:r>
      <w:r w:rsidR="00FF1CF7">
        <w:rPr>
          <w:rFonts w:hint="cs"/>
          <w:rtl/>
        </w:rPr>
        <w:t xml:space="preserve"> </w:t>
      </w:r>
      <w:r w:rsidR="000A67D0">
        <w:rPr>
          <w:rtl/>
        </w:rPr>
        <w:t>تخزين بيانات الملكية الفكرية باستخدام</w:t>
      </w:r>
      <w:r w:rsidR="00FF1CF7">
        <w:rPr>
          <w:rFonts w:hint="cs"/>
          <w:rtl/>
        </w:rPr>
        <w:t xml:space="preserve"> نسق</w:t>
      </w:r>
      <w:r w:rsidR="000A67D0">
        <w:rPr>
          <w:rtl/>
        </w:rPr>
        <w:t xml:space="preserve"> </w:t>
      </w:r>
      <w:r w:rsidR="000A67D0">
        <w:t>XML</w:t>
      </w:r>
      <w:r w:rsidR="000A67D0">
        <w:rPr>
          <w:rtl/>
        </w:rPr>
        <w:t xml:space="preserve"> أيضًا 10000 </w:t>
      </w:r>
      <w:r w:rsidR="00FF1CF7">
        <w:rPr>
          <w:rFonts w:hint="cs"/>
          <w:rtl/>
        </w:rPr>
        <w:t>زيارة</w:t>
      </w:r>
      <w:r w:rsidR="000A67D0">
        <w:rPr>
          <w:rtl/>
        </w:rPr>
        <w:t xml:space="preserve"> سنويًا. </w:t>
      </w:r>
      <w:r w:rsidR="00FF1CF7">
        <w:rPr>
          <w:rFonts w:hint="cs"/>
          <w:rtl/>
        </w:rPr>
        <w:t>ويتلقى معيار الويبو</w:t>
      </w:r>
      <w:r w:rsidR="000A67D0">
        <w:rPr>
          <w:rtl/>
        </w:rPr>
        <w:t xml:space="preserve"> </w:t>
      </w:r>
      <w:r w:rsidR="000A67D0">
        <w:t>ST.26</w:t>
      </w:r>
      <w:r w:rsidR="000A67D0">
        <w:rPr>
          <w:rtl/>
        </w:rPr>
        <w:t xml:space="preserve"> </w:t>
      </w:r>
      <w:r w:rsidR="002C00A3">
        <w:rPr>
          <w:rFonts w:hint="cs"/>
          <w:rtl/>
        </w:rPr>
        <w:t xml:space="preserve">حول </w:t>
      </w:r>
      <w:r w:rsidR="000A67D0">
        <w:rPr>
          <w:rtl/>
        </w:rPr>
        <w:t>تسلسل</w:t>
      </w:r>
      <w:r w:rsidR="0028335C">
        <w:rPr>
          <w:rFonts w:hint="cs"/>
          <w:rtl/>
        </w:rPr>
        <w:t>ات</w:t>
      </w:r>
      <w:r w:rsidR="000A67D0">
        <w:rPr>
          <w:rtl/>
        </w:rPr>
        <w:t xml:space="preserve"> </w:t>
      </w:r>
      <w:r w:rsidR="0028335C">
        <w:rPr>
          <w:rFonts w:hint="cs"/>
          <w:rtl/>
        </w:rPr>
        <w:t>النوويدات</w:t>
      </w:r>
      <w:r w:rsidR="000A67D0">
        <w:rPr>
          <w:rtl/>
        </w:rPr>
        <w:t xml:space="preserve"> على أكثر من 5000 </w:t>
      </w:r>
      <w:r w:rsidR="0028335C">
        <w:rPr>
          <w:rFonts w:hint="cs"/>
          <w:rtl/>
        </w:rPr>
        <w:t>زيارة</w:t>
      </w:r>
      <w:r w:rsidR="000A67D0">
        <w:rPr>
          <w:rtl/>
        </w:rPr>
        <w:t xml:space="preserve"> </w:t>
      </w:r>
      <w:r w:rsidR="0028335C">
        <w:rPr>
          <w:rFonts w:hint="cs"/>
          <w:rtl/>
        </w:rPr>
        <w:t>سنوي</w:t>
      </w:r>
      <w:r w:rsidR="001E6ABF">
        <w:rPr>
          <w:rFonts w:hint="cs"/>
          <w:rtl/>
        </w:rPr>
        <w:t>ً</w:t>
      </w:r>
      <w:r w:rsidR="0028335C">
        <w:rPr>
          <w:rFonts w:hint="cs"/>
          <w:rtl/>
        </w:rPr>
        <w:t>ا</w:t>
      </w:r>
      <w:r w:rsidR="000A67D0">
        <w:rPr>
          <w:rtl/>
        </w:rPr>
        <w:t xml:space="preserve">. </w:t>
      </w:r>
      <w:r w:rsidR="001E6ABF">
        <w:rPr>
          <w:rFonts w:hint="cs"/>
          <w:rtl/>
        </w:rPr>
        <w:t>وتُعد تلك</w:t>
      </w:r>
      <w:r w:rsidR="000A67D0">
        <w:rPr>
          <w:rtl/>
        </w:rPr>
        <w:t xml:space="preserve"> العناصر من بين المحتويات الأكثر </w:t>
      </w:r>
      <w:r w:rsidR="001E6ABF">
        <w:rPr>
          <w:rFonts w:hint="cs"/>
          <w:rtl/>
        </w:rPr>
        <w:t>شهرة</w:t>
      </w:r>
      <w:r w:rsidR="000A67D0">
        <w:rPr>
          <w:rtl/>
        </w:rPr>
        <w:t xml:space="preserve"> </w:t>
      </w:r>
      <w:r w:rsidR="001E6ABF">
        <w:rPr>
          <w:rFonts w:hint="cs"/>
          <w:rtl/>
        </w:rPr>
        <w:t>ذات الصلة بلجنة المعايير.</w:t>
      </w:r>
    </w:p>
    <w:p w14:paraId="33F48D04" w14:textId="6AC78FD5" w:rsidR="000A67D0" w:rsidRDefault="00324B26" w:rsidP="000A67D0">
      <w:pPr>
        <w:pStyle w:val="ONUMA"/>
      </w:pPr>
      <w:r>
        <w:rPr>
          <w:rFonts w:hint="cs"/>
          <w:rtl/>
        </w:rPr>
        <w:t xml:space="preserve">ولأغراض </w:t>
      </w:r>
      <w:r w:rsidR="000A67D0">
        <w:rPr>
          <w:rtl/>
        </w:rPr>
        <w:t>المقارنة</w:t>
      </w:r>
      <w:r w:rsidR="00DA4C40">
        <w:rPr>
          <w:rtl/>
        </w:rPr>
        <w:t>،</w:t>
      </w:r>
      <w:r w:rsidR="000A67D0">
        <w:rPr>
          <w:rtl/>
        </w:rPr>
        <w:t xml:space="preserve"> حتى المحتوى </w:t>
      </w:r>
      <w:r>
        <w:rPr>
          <w:rFonts w:hint="cs"/>
          <w:rtl/>
        </w:rPr>
        <w:t>المتقادم</w:t>
      </w:r>
      <w:r w:rsidR="000A67D0">
        <w:rPr>
          <w:rtl/>
        </w:rPr>
        <w:t xml:space="preserve"> لا يزال يحظى بعدد لا بأس به من </w:t>
      </w:r>
      <w:r>
        <w:rPr>
          <w:rFonts w:hint="cs"/>
          <w:rtl/>
        </w:rPr>
        <w:t>الزيارات</w:t>
      </w:r>
      <w:r w:rsidR="000A67D0">
        <w:rPr>
          <w:rtl/>
        </w:rPr>
        <w:t xml:space="preserve">. </w:t>
      </w:r>
      <w:r w:rsidR="00DF7A4B">
        <w:rPr>
          <w:rFonts w:hint="cs"/>
          <w:rtl/>
        </w:rPr>
        <w:t>فقد تلقى</w:t>
      </w:r>
      <w:r w:rsidR="004F2DE7">
        <w:rPr>
          <w:rFonts w:hint="cs"/>
          <w:rtl/>
        </w:rPr>
        <w:t xml:space="preserve"> </w:t>
      </w:r>
      <w:hyperlink r:id="rId16" w:history="1">
        <w:r w:rsidR="000A67D0" w:rsidRPr="00DF7A4B">
          <w:rPr>
            <w:rStyle w:val="Hyperlink"/>
            <w:rtl/>
          </w:rPr>
          <w:t>الملحق 3 من</w:t>
        </w:r>
        <w:r w:rsidR="004F2DE7" w:rsidRPr="00DF7A4B">
          <w:rPr>
            <w:rStyle w:val="Hyperlink"/>
          </w:rPr>
          <w:t xml:space="preserve"> </w:t>
        </w:r>
        <w:r w:rsidR="004F2DE7" w:rsidRPr="00DF7A4B">
          <w:rPr>
            <w:rStyle w:val="Hyperlink"/>
            <w:rFonts w:hint="cs"/>
            <w:rtl/>
            <w:lang w:bidi="ar-EG"/>
          </w:rPr>
          <w:t xml:space="preserve">المعيار </w:t>
        </w:r>
        <w:r w:rsidR="000A67D0" w:rsidRPr="00DF7A4B">
          <w:rPr>
            <w:rStyle w:val="Hyperlink"/>
          </w:rPr>
          <w:t>ST.9</w:t>
        </w:r>
      </w:hyperlink>
      <w:r w:rsidR="00DA4C40">
        <w:rPr>
          <w:rtl/>
        </w:rPr>
        <w:t>،</w:t>
      </w:r>
      <w:r w:rsidR="000A67D0">
        <w:rPr>
          <w:rtl/>
        </w:rPr>
        <w:t xml:space="preserve"> الذي تم</w:t>
      </w:r>
      <w:r w:rsidR="00DF7A4B">
        <w:rPr>
          <w:rFonts w:hint="cs"/>
          <w:rtl/>
        </w:rPr>
        <w:t>ت</w:t>
      </w:r>
      <w:r w:rsidR="000A67D0">
        <w:rPr>
          <w:rtl/>
        </w:rPr>
        <w:t xml:space="preserve"> أرشفته في عام 2008 وتم تحديثه آخر مرة في عام </w:t>
      </w:r>
      <w:r w:rsidR="00DF7A4B">
        <w:rPr>
          <w:rFonts w:hint="cs"/>
          <w:rtl/>
        </w:rPr>
        <w:t>1996</w:t>
      </w:r>
      <w:r w:rsidR="00DA4C40">
        <w:rPr>
          <w:rtl/>
        </w:rPr>
        <w:t>،</w:t>
      </w:r>
      <w:r w:rsidR="000A67D0">
        <w:rPr>
          <w:rtl/>
        </w:rPr>
        <w:t xml:space="preserve"> 700 </w:t>
      </w:r>
      <w:r w:rsidR="00DF7A4B">
        <w:rPr>
          <w:rFonts w:hint="cs"/>
          <w:rtl/>
        </w:rPr>
        <w:t>زيارة</w:t>
      </w:r>
      <w:r w:rsidR="000A67D0">
        <w:rPr>
          <w:rtl/>
        </w:rPr>
        <w:t xml:space="preserve"> في عام 2020</w:t>
      </w:r>
      <w:r w:rsidR="00DF7A4B">
        <w:rPr>
          <w:rFonts w:hint="cs"/>
          <w:rtl/>
        </w:rPr>
        <w:t xml:space="preserve"> رغم تقادمه</w:t>
      </w:r>
      <w:r w:rsidR="000A67D0">
        <w:rPr>
          <w:rtl/>
        </w:rPr>
        <w:t xml:space="preserve">. </w:t>
      </w:r>
      <w:r w:rsidR="00584829">
        <w:rPr>
          <w:rFonts w:hint="cs"/>
          <w:rtl/>
        </w:rPr>
        <w:t>و</w:t>
      </w:r>
      <w:r w:rsidR="000A67D0">
        <w:rPr>
          <w:rtl/>
        </w:rPr>
        <w:t xml:space="preserve">تلقى </w:t>
      </w:r>
      <w:hyperlink r:id="rId17" w:history="1">
        <w:r w:rsidR="000A67D0" w:rsidRPr="00584829">
          <w:rPr>
            <w:rStyle w:val="Hyperlink"/>
            <w:rtl/>
          </w:rPr>
          <w:t>منشور باللغة الإسبانية</w:t>
        </w:r>
      </w:hyperlink>
      <w:r w:rsidR="000A67D0">
        <w:rPr>
          <w:rtl/>
        </w:rPr>
        <w:t xml:space="preserve"> نشرته </w:t>
      </w:r>
      <w:r w:rsidR="00584829" w:rsidRPr="00584829">
        <w:rPr>
          <w:rtl/>
        </w:rPr>
        <w:t xml:space="preserve">اللجنة الدائمة المعنية بتكنولوجيا المعلومات </w:t>
      </w:r>
      <w:r w:rsidR="000A67D0">
        <w:rPr>
          <w:rtl/>
        </w:rPr>
        <w:t xml:space="preserve">في عام 2001 </w:t>
      </w:r>
      <w:r w:rsidR="00584829">
        <w:rPr>
          <w:rFonts w:hint="cs"/>
          <w:rtl/>
        </w:rPr>
        <w:t xml:space="preserve">ما مجموعه </w:t>
      </w:r>
      <w:r w:rsidR="000A67D0">
        <w:rPr>
          <w:rtl/>
        </w:rPr>
        <w:t xml:space="preserve">800 </w:t>
      </w:r>
      <w:r w:rsidR="00584829">
        <w:rPr>
          <w:rFonts w:hint="cs"/>
          <w:rtl/>
        </w:rPr>
        <w:t>زيارة</w:t>
      </w:r>
      <w:r w:rsidR="000A67D0">
        <w:rPr>
          <w:rtl/>
        </w:rPr>
        <w:t xml:space="preserve"> في عام 2020. </w:t>
      </w:r>
      <w:r w:rsidR="00071E69">
        <w:rPr>
          <w:rFonts w:hint="cs"/>
          <w:rtl/>
        </w:rPr>
        <w:t>و</w:t>
      </w:r>
      <w:r w:rsidR="00114F7B" w:rsidRPr="00114F7B">
        <w:rPr>
          <w:rtl/>
        </w:rPr>
        <w:t xml:space="preserve">في ضوء ذلك، </w:t>
      </w:r>
      <w:r w:rsidR="00114F7B">
        <w:rPr>
          <w:rFonts w:hint="cs"/>
          <w:rtl/>
        </w:rPr>
        <w:t>تمثل</w:t>
      </w:r>
      <w:r w:rsidR="00114F7B" w:rsidRPr="00114F7B">
        <w:rPr>
          <w:rtl/>
        </w:rPr>
        <w:t xml:space="preserve"> 180 زيارة سنويًا </w:t>
      </w:r>
      <w:r w:rsidR="00114F7B">
        <w:rPr>
          <w:rFonts w:hint="cs"/>
          <w:rtl/>
        </w:rPr>
        <w:t>للصفحات الإلكترونية الخاصة بالتقارير التقنية السنوية</w:t>
      </w:r>
      <w:r w:rsidR="00114F7B" w:rsidRPr="00114F7B">
        <w:rPr>
          <w:rtl/>
        </w:rPr>
        <w:t xml:space="preserve"> في المتوسط ​​عددًا منخفضًا للغاية. </w:t>
      </w:r>
      <w:r w:rsidR="0053240B">
        <w:rPr>
          <w:rFonts w:hint="cs"/>
          <w:rtl/>
        </w:rPr>
        <w:t>وإذا ما رُتب هذا من</w:t>
      </w:r>
      <w:r w:rsidR="00114F7B" w:rsidRPr="00114F7B">
        <w:rPr>
          <w:rtl/>
        </w:rPr>
        <w:t xml:space="preserve"> حيث الحجم </w:t>
      </w:r>
      <w:r w:rsidR="0053240B">
        <w:rPr>
          <w:rFonts w:hint="cs"/>
          <w:rtl/>
        </w:rPr>
        <w:t xml:space="preserve">فإنه </w:t>
      </w:r>
      <w:r w:rsidR="00114F7B" w:rsidRPr="00114F7B">
        <w:rPr>
          <w:rtl/>
        </w:rPr>
        <w:t>أقل حتى من المحتوى ال</w:t>
      </w:r>
      <w:r w:rsidR="0053240B">
        <w:rPr>
          <w:rFonts w:hint="cs"/>
          <w:rtl/>
        </w:rPr>
        <w:t>متقادم</w:t>
      </w:r>
      <w:r w:rsidR="000A67D0">
        <w:rPr>
          <w:rtl/>
        </w:rPr>
        <w:t xml:space="preserve">. </w:t>
      </w:r>
      <w:r w:rsidR="0053240B">
        <w:rPr>
          <w:rFonts w:hint="cs"/>
          <w:rtl/>
        </w:rPr>
        <w:t>وهذا يعني زائر واحد فقط في الشهر لهذه الصفحات.</w:t>
      </w:r>
    </w:p>
    <w:p w14:paraId="4FCA1F19" w14:textId="6E325C1C" w:rsidR="000A67D0" w:rsidRDefault="00071E69" w:rsidP="000A67D0">
      <w:pPr>
        <w:pStyle w:val="ONUMA"/>
      </w:pPr>
      <w:r>
        <w:rPr>
          <w:rFonts w:hint="cs"/>
          <w:rtl/>
        </w:rPr>
        <w:t>وبالإضافة إلى ذلك</w:t>
      </w:r>
      <w:r w:rsidRPr="00071E69">
        <w:rPr>
          <w:rtl/>
        </w:rPr>
        <w:t>،</w:t>
      </w:r>
      <w:r w:rsidR="009C0DD5">
        <w:rPr>
          <w:rFonts w:hint="cs"/>
          <w:rtl/>
        </w:rPr>
        <w:t xml:space="preserve"> يبلغ متوسط عدد زيارات جميع صفحات التقارير </w:t>
      </w:r>
      <w:r w:rsidRPr="00071E69">
        <w:rPr>
          <w:rtl/>
        </w:rPr>
        <w:t xml:space="preserve">180 </w:t>
      </w:r>
      <w:r w:rsidR="009C0DD5">
        <w:rPr>
          <w:rFonts w:hint="cs"/>
          <w:rtl/>
        </w:rPr>
        <w:t xml:space="preserve">زيارة </w:t>
      </w:r>
      <w:r w:rsidRPr="00071E69">
        <w:rPr>
          <w:rtl/>
        </w:rPr>
        <w:t xml:space="preserve">في عام معين. </w:t>
      </w:r>
      <w:r w:rsidR="00576BB6">
        <w:rPr>
          <w:rFonts w:hint="cs"/>
          <w:rtl/>
        </w:rPr>
        <w:t>و</w:t>
      </w:r>
      <w:r w:rsidRPr="00071E69">
        <w:rPr>
          <w:rtl/>
        </w:rPr>
        <w:t xml:space="preserve">عادة ما </w:t>
      </w:r>
      <w:r w:rsidR="00414F5E">
        <w:rPr>
          <w:rFonts w:hint="cs"/>
          <w:rtl/>
        </w:rPr>
        <w:t>يتكون</w:t>
      </w:r>
      <w:r w:rsidRPr="00071E69">
        <w:rPr>
          <w:rtl/>
        </w:rPr>
        <w:t xml:space="preserve"> عدد الزيارات لكل صفحة </w:t>
      </w:r>
      <w:r w:rsidR="00576BB6">
        <w:rPr>
          <w:rFonts w:hint="cs"/>
          <w:rtl/>
        </w:rPr>
        <w:t>من صفحات التقارير</w:t>
      </w:r>
      <w:r w:rsidRPr="00071E69">
        <w:rPr>
          <w:rtl/>
        </w:rPr>
        <w:t xml:space="preserve"> من رقم واحد. </w:t>
      </w:r>
      <w:r w:rsidR="00414F5E">
        <w:rPr>
          <w:rFonts w:hint="cs"/>
          <w:rtl/>
        </w:rPr>
        <w:t>و</w:t>
      </w:r>
      <w:r w:rsidRPr="00071E69">
        <w:rPr>
          <w:rtl/>
        </w:rPr>
        <w:t xml:space="preserve">من بين 164 صفحة </w:t>
      </w:r>
      <w:r w:rsidR="00414F5E">
        <w:rPr>
          <w:rFonts w:hint="cs"/>
          <w:rtl/>
        </w:rPr>
        <w:t>من صفحات التقارير</w:t>
      </w:r>
      <w:r w:rsidRPr="00071E69">
        <w:rPr>
          <w:rtl/>
        </w:rPr>
        <w:t xml:space="preserve"> التي تلقت زيارات في عام 2020،</w:t>
      </w:r>
      <w:r w:rsidR="00414F5E">
        <w:rPr>
          <w:rFonts w:hint="cs"/>
          <w:rtl/>
        </w:rPr>
        <w:t xml:space="preserve"> تلقى</w:t>
      </w:r>
      <w:r w:rsidRPr="00071E69">
        <w:rPr>
          <w:rtl/>
        </w:rPr>
        <w:t xml:space="preserve"> 15 منها فقط 10 زيارات أو أكثر. </w:t>
      </w:r>
      <w:r w:rsidR="00414F5E">
        <w:rPr>
          <w:rFonts w:hint="cs"/>
          <w:rtl/>
        </w:rPr>
        <w:t>و</w:t>
      </w:r>
      <w:r w:rsidRPr="00071E69">
        <w:rPr>
          <w:rtl/>
        </w:rPr>
        <w:t xml:space="preserve">من بين هذه الصفحات، تمت زيارة 95 </w:t>
      </w:r>
      <w:r w:rsidR="006B61BF">
        <w:rPr>
          <w:rFonts w:hint="cs"/>
          <w:rtl/>
        </w:rPr>
        <w:t xml:space="preserve">صفحة </w:t>
      </w:r>
      <w:r w:rsidRPr="00071E69">
        <w:rPr>
          <w:rtl/>
        </w:rPr>
        <w:t>مرة واحدة فقط في عام 2020 بالكامل. ومن بين 31 تقريرً</w:t>
      </w:r>
      <w:r w:rsidR="006B61BF">
        <w:rPr>
          <w:rFonts w:hint="cs"/>
          <w:rtl/>
        </w:rPr>
        <w:t xml:space="preserve"> من التقارير التقنية السنوية</w:t>
      </w:r>
      <w:r w:rsidRPr="00071E69">
        <w:rPr>
          <w:rtl/>
        </w:rPr>
        <w:t xml:space="preserve"> تم تقديمها في عام 2018، تلقى 22 تقريرًا أقل من 10 زيارات في عام 2020 بالكامل. وهذا يعني </w:t>
      </w:r>
      <w:r w:rsidR="006B61BF" w:rsidRPr="006B61BF">
        <w:rPr>
          <w:rtl/>
        </w:rPr>
        <w:t>زائر واحد فقط في الشهر لهذه الصفحا</w:t>
      </w:r>
      <w:r w:rsidR="006B61BF">
        <w:rPr>
          <w:rFonts w:hint="cs"/>
          <w:rtl/>
        </w:rPr>
        <w:t>ت.</w:t>
      </w:r>
    </w:p>
    <w:p w14:paraId="1D049862" w14:textId="10EDCCD1" w:rsidR="008D1BBF" w:rsidRDefault="008D1BBF" w:rsidP="008D1BBF">
      <w:pPr>
        <w:pStyle w:val="ONUMA"/>
        <w:numPr>
          <w:ilvl w:val="0"/>
          <w:numId w:val="0"/>
        </w:numPr>
      </w:pPr>
      <w:r>
        <w:rPr>
          <w:noProof/>
          <w:lang w:eastAsia="zh-CN"/>
        </w:rPr>
        <w:drawing>
          <wp:inline distT="0" distB="0" distL="0" distR="0" wp14:anchorId="0DD71784" wp14:editId="3C143D15">
            <wp:extent cx="5940425" cy="2862580"/>
            <wp:effectExtent l="0" t="0" r="3175" b="13970"/>
            <wp:docPr id="2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E5F08E2" w14:textId="65007F04" w:rsidR="005C0B3B" w:rsidRDefault="00D85882" w:rsidP="005C0B3B">
      <w:pPr>
        <w:pStyle w:val="ONUMA"/>
      </w:pPr>
      <w:r>
        <w:rPr>
          <w:rFonts w:hint="cs"/>
          <w:rtl/>
        </w:rPr>
        <w:t>و</w:t>
      </w:r>
      <w:r w:rsidR="005C0B3B">
        <w:rPr>
          <w:rtl/>
        </w:rPr>
        <w:t xml:space="preserve">هذا يعني أن معظم صفحات </w:t>
      </w:r>
      <w:r>
        <w:rPr>
          <w:rFonts w:hint="cs"/>
          <w:rtl/>
        </w:rPr>
        <w:t>التقارير</w:t>
      </w:r>
      <w:r w:rsidR="005C0B3B">
        <w:rPr>
          <w:rtl/>
        </w:rPr>
        <w:t xml:space="preserve"> تتلقى زيارات قليلة جدًا. </w:t>
      </w:r>
      <w:r>
        <w:rPr>
          <w:rFonts w:hint="cs"/>
          <w:rtl/>
        </w:rPr>
        <w:t>ونظرا</w:t>
      </w:r>
      <w:r w:rsidR="005C0B3B">
        <w:rPr>
          <w:rtl/>
        </w:rPr>
        <w:t xml:space="preserve"> </w:t>
      </w:r>
      <w:r>
        <w:rPr>
          <w:rFonts w:hint="cs"/>
          <w:rtl/>
        </w:rPr>
        <w:t>ل</w:t>
      </w:r>
      <w:r w:rsidR="005C0B3B">
        <w:rPr>
          <w:rtl/>
        </w:rPr>
        <w:t xml:space="preserve">لجهود التي تبذلها مكاتب الملكية الفكرية </w:t>
      </w:r>
      <w:r>
        <w:rPr>
          <w:rFonts w:hint="cs"/>
          <w:rtl/>
        </w:rPr>
        <w:t>لصياغة</w:t>
      </w:r>
      <w:r w:rsidR="005C0B3B">
        <w:rPr>
          <w:rtl/>
        </w:rPr>
        <w:t xml:space="preserve"> ونشر </w:t>
      </w:r>
      <w:r>
        <w:rPr>
          <w:rFonts w:hint="cs"/>
          <w:rtl/>
        </w:rPr>
        <w:t>التقارير</w:t>
      </w:r>
      <w:r w:rsidR="005C0B3B">
        <w:rPr>
          <w:rtl/>
        </w:rPr>
        <w:t xml:space="preserve">، يبدو أن عدد الزيارات لا يبرر مستوى الجهد </w:t>
      </w:r>
      <w:r w:rsidR="00BE295E">
        <w:rPr>
          <w:rFonts w:hint="cs"/>
          <w:rtl/>
        </w:rPr>
        <w:t xml:space="preserve">الذي </w:t>
      </w:r>
      <w:r w:rsidR="00685559">
        <w:rPr>
          <w:rFonts w:hint="cs"/>
          <w:rtl/>
        </w:rPr>
        <w:t>ي</w:t>
      </w:r>
      <w:r w:rsidR="00BE295E">
        <w:rPr>
          <w:rFonts w:hint="cs"/>
          <w:rtl/>
        </w:rPr>
        <w:t>بذله</w:t>
      </w:r>
      <w:r w:rsidR="005C0B3B">
        <w:rPr>
          <w:rtl/>
        </w:rPr>
        <w:t xml:space="preserve"> حاليًا أولئك الذين يعدونها.</w:t>
      </w:r>
    </w:p>
    <w:p w14:paraId="4EE4C88D" w14:textId="4DA91CF5" w:rsidR="005C0B3B" w:rsidRPr="00372195" w:rsidRDefault="00372195" w:rsidP="00372195">
      <w:pPr>
        <w:pStyle w:val="Heading2"/>
        <w:rPr>
          <w:i/>
          <w:iCs w:val="0"/>
          <w:lang w:eastAsia="en-US"/>
        </w:rPr>
      </w:pPr>
      <w:r>
        <w:rPr>
          <w:rFonts w:hint="cs"/>
          <w:i/>
          <w:iCs w:val="0"/>
          <w:rtl/>
          <w:lang w:eastAsia="en-US"/>
        </w:rPr>
        <w:t>مصدر</w:t>
      </w:r>
      <w:r w:rsidR="005C0B3B" w:rsidRPr="00372195">
        <w:rPr>
          <w:i/>
          <w:iCs w:val="0"/>
          <w:rtl/>
          <w:lang w:eastAsia="en-US"/>
        </w:rPr>
        <w:t xml:space="preserve"> الزيارات</w:t>
      </w:r>
    </w:p>
    <w:p w14:paraId="39EEAC34" w14:textId="58E2B701" w:rsidR="005C0B3B" w:rsidRDefault="00372195" w:rsidP="005C0B3B">
      <w:pPr>
        <w:pStyle w:val="ONUMA"/>
      </w:pPr>
      <w:r>
        <w:rPr>
          <w:rtl/>
        </w:rPr>
        <w:t xml:space="preserve">لا تكشف </w:t>
      </w:r>
      <w:r>
        <w:rPr>
          <w:rFonts w:hint="cs"/>
          <w:rtl/>
        </w:rPr>
        <w:t>ال</w:t>
      </w:r>
      <w:r w:rsidR="005C0B3B">
        <w:rPr>
          <w:rtl/>
        </w:rPr>
        <w:t xml:space="preserve">إحصاءات </w:t>
      </w:r>
      <w:r>
        <w:rPr>
          <w:rFonts w:hint="cs"/>
          <w:rtl/>
        </w:rPr>
        <w:t>الإلكترونية</w:t>
      </w:r>
      <w:r w:rsidR="005C0B3B">
        <w:rPr>
          <w:rtl/>
        </w:rPr>
        <w:t xml:space="preserve"> عن مصدر زيارات</w:t>
      </w:r>
      <w:r w:rsidR="00393538">
        <w:rPr>
          <w:rFonts w:hint="cs"/>
          <w:rtl/>
        </w:rPr>
        <w:t xml:space="preserve"> الصفحات</w:t>
      </w:r>
      <w:r w:rsidR="005C0B3B">
        <w:rPr>
          <w:rtl/>
        </w:rPr>
        <w:t xml:space="preserve">. </w:t>
      </w:r>
      <w:r w:rsidR="00273483">
        <w:rPr>
          <w:rFonts w:hint="cs"/>
          <w:rtl/>
        </w:rPr>
        <w:t>ف</w:t>
      </w:r>
      <w:r w:rsidR="005C0B3B">
        <w:rPr>
          <w:rtl/>
        </w:rPr>
        <w:t xml:space="preserve">في كل مرة </w:t>
      </w:r>
      <w:r w:rsidR="00273483">
        <w:rPr>
          <w:rFonts w:hint="cs"/>
          <w:rtl/>
        </w:rPr>
        <w:t>ينفذ</w:t>
      </w:r>
      <w:r w:rsidR="005C0B3B">
        <w:rPr>
          <w:rtl/>
        </w:rPr>
        <w:t xml:space="preserve"> فيها مكتب </w:t>
      </w:r>
      <w:r w:rsidR="00273483">
        <w:rPr>
          <w:rFonts w:hint="cs"/>
          <w:rtl/>
        </w:rPr>
        <w:t>الملكية الفكرية</w:t>
      </w:r>
      <w:r w:rsidR="005C0B3B">
        <w:rPr>
          <w:rtl/>
        </w:rPr>
        <w:t xml:space="preserve"> إلى صفحة </w:t>
      </w:r>
      <w:r w:rsidR="00273483">
        <w:rPr>
          <w:rFonts w:hint="cs"/>
          <w:rtl/>
        </w:rPr>
        <w:t>التقارير</w:t>
      </w:r>
      <w:r w:rsidR="005C0B3B">
        <w:rPr>
          <w:rtl/>
        </w:rPr>
        <w:t xml:space="preserve"> أثناء </w:t>
      </w:r>
      <w:r w:rsidR="00273483">
        <w:rPr>
          <w:rFonts w:hint="cs"/>
          <w:rtl/>
        </w:rPr>
        <w:t>الإعداد</w:t>
      </w:r>
      <w:r w:rsidR="005C0B3B">
        <w:rPr>
          <w:rtl/>
        </w:rPr>
        <w:t xml:space="preserve"> لنشر</w:t>
      </w:r>
      <w:r w:rsidR="00273483">
        <w:rPr>
          <w:rFonts w:hint="cs"/>
          <w:rtl/>
        </w:rPr>
        <w:t xml:space="preserve"> تقريره</w:t>
      </w:r>
      <w:r w:rsidR="00BE295E">
        <w:rPr>
          <w:rtl/>
        </w:rPr>
        <w:t>،</w:t>
      </w:r>
      <w:r w:rsidR="005C0B3B">
        <w:rPr>
          <w:rtl/>
        </w:rPr>
        <w:t xml:space="preserve"> تُسجل زيارة الصفحة في </w:t>
      </w:r>
      <w:r w:rsidR="00273483">
        <w:rPr>
          <w:rFonts w:hint="cs"/>
          <w:rtl/>
        </w:rPr>
        <w:t>ال</w:t>
      </w:r>
      <w:r w:rsidR="005C0B3B">
        <w:rPr>
          <w:rtl/>
        </w:rPr>
        <w:t xml:space="preserve">إحصاءات </w:t>
      </w:r>
      <w:r w:rsidR="00273483">
        <w:rPr>
          <w:rFonts w:hint="cs"/>
          <w:rtl/>
        </w:rPr>
        <w:t>الإلكترونية</w:t>
      </w:r>
      <w:r w:rsidR="005C0B3B">
        <w:rPr>
          <w:rtl/>
        </w:rPr>
        <w:t xml:space="preserve"> الداخلية للويبو. </w:t>
      </w:r>
      <w:r w:rsidR="00923565">
        <w:rPr>
          <w:rFonts w:hint="cs"/>
          <w:rtl/>
        </w:rPr>
        <w:t>وهذا يعني أن تلك</w:t>
      </w:r>
      <w:r w:rsidR="005C0B3B">
        <w:rPr>
          <w:rtl/>
        </w:rPr>
        <w:t xml:space="preserve"> الزيارات </w:t>
      </w:r>
      <w:r w:rsidR="00923565">
        <w:rPr>
          <w:rFonts w:hint="cs"/>
          <w:rtl/>
        </w:rPr>
        <w:t>لم يقم بها</w:t>
      </w:r>
      <w:r w:rsidR="005C0B3B">
        <w:rPr>
          <w:rtl/>
        </w:rPr>
        <w:t xml:space="preserve"> مستخدم</w:t>
      </w:r>
      <w:r w:rsidR="00923565">
        <w:rPr>
          <w:rFonts w:hint="cs"/>
          <w:rtl/>
        </w:rPr>
        <w:t>و التقارير</w:t>
      </w:r>
      <w:r w:rsidR="00BE295E">
        <w:rPr>
          <w:rtl/>
        </w:rPr>
        <w:t>،</w:t>
      </w:r>
      <w:r w:rsidR="005C0B3B">
        <w:rPr>
          <w:rtl/>
        </w:rPr>
        <w:t xml:space="preserve"> ولكن </w:t>
      </w:r>
      <w:r w:rsidR="00923565">
        <w:rPr>
          <w:rFonts w:hint="cs"/>
          <w:rtl/>
        </w:rPr>
        <w:t>قامت بها المكاتب التي تعمل على إعداد التقارير</w:t>
      </w:r>
      <w:r w:rsidR="005C0B3B">
        <w:rPr>
          <w:rtl/>
        </w:rPr>
        <w:t xml:space="preserve">. </w:t>
      </w:r>
      <w:r w:rsidR="005E721B">
        <w:rPr>
          <w:rFonts w:hint="cs"/>
          <w:rtl/>
        </w:rPr>
        <w:t xml:space="preserve">وهو ما </w:t>
      </w:r>
      <w:r w:rsidR="005C0B3B">
        <w:rPr>
          <w:rtl/>
        </w:rPr>
        <w:t xml:space="preserve">يؤدي إلى تضخيم عدد الزيارات خلال العام الذي يتم فيه </w:t>
      </w:r>
      <w:r w:rsidR="005E721B">
        <w:rPr>
          <w:rFonts w:hint="cs"/>
          <w:rtl/>
        </w:rPr>
        <w:t>إعداد التقارير</w:t>
      </w:r>
      <w:r w:rsidR="005C0B3B">
        <w:rPr>
          <w:rtl/>
        </w:rPr>
        <w:t xml:space="preserve">. ومن الشائع أيضًا أن </w:t>
      </w:r>
      <w:r w:rsidR="00086230">
        <w:rPr>
          <w:rFonts w:hint="cs"/>
          <w:rtl/>
        </w:rPr>
        <w:t>مكاتب الملكية الفكرية تنفذ</w:t>
      </w:r>
      <w:r w:rsidR="005C0B3B">
        <w:rPr>
          <w:rtl/>
        </w:rPr>
        <w:t xml:space="preserve"> إلى تقاريرها السابقة أثناء </w:t>
      </w:r>
      <w:r w:rsidR="00086230">
        <w:rPr>
          <w:rFonts w:hint="cs"/>
          <w:rtl/>
        </w:rPr>
        <w:t>إعداد تقاريرها</w:t>
      </w:r>
      <w:r w:rsidR="005C0B3B">
        <w:rPr>
          <w:rtl/>
        </w:rPr>
        <w:t xml:space="preserve"> الجديدة</w:t>
      </w:r>
      <w:r w:rsidR="00BE295E">
        <w:rPr>
          <w:rtl/>
        </w:rPr>
        <w:t>،</w:t>
      </w:r>
      <w:r w:rsidR="005C0B3B">
        <w:rPr>
          <w:rtl/>
        </w:rPr>
        <w:t xml:space="preserve"> مما يؤدي أيضًا إلى تضخيم الزيارات </w:t>
      </w:r>
      <w:r w:rsidR="002D450E">
        <w:rPr>
          <w:rFonts w:hint="cs"/>
          <w:rtl/>
        </w:rPr>
        <w:t>الخاصة</w:t>
      </w:r>
      <w:r w:rsidR="005C0B3B">
        <w:rPr>
          <w:rtl/>
        </w:rPr>
        <w:t xml:space="preserve"> </w:t>
      </w:r>
      <w:r w:rsidR="002D450E">
        <w:rPr>
          <w:rFonts w:hint="cs"/>
          <w:rtl/>
        </w:rPr>
        <w:t>ب</w:t>
      </w:r>
      <w:r w:rsidR="005C0B3B">
        <w:rPr>
          <w:rtl/>
        </w:rPr>
        <w:t xml:space="preserve">العام السابق. </w:t>
      </w:r>
      <w:r w:rsidR="00592CDF">
        <w:rPr>
          <w:rFonts w:hint="cs"/>
          <w:rtl/>
        </w:rPr>
        <w:t>و</w:t>
      </w:r>
      <w:r w:rsidR="005C0B3B">
        <w:rPr>
          <w:rtl/>
        </w:rPr>
        <w:t xml:space="preserve">من غير المعروف إلى أي مدى تؤدي هذه الزيارات من </w:t>
      </w:r>
      <w:r w:rsidR="00592CDF">
        <w:rPr>
          <w:rFonts w:hint="cs"/>
          <w:rtl/>
        </w:rPr>
        <w:t>مكاتب الملكية الفكرية</w:t>
      </w:r>
      <w:r w:rsidR="005C0B3B">
        <w:rPr>
          <w:rtl/>
        </w:rPr>
        <w:t xml:space="preserve"> إلى تضخيم </w:t>
      </w:r>
      <w:r w:rsidR="00592CDF">
        <w:rPr>
          <w:rFonts w:hint="cs"/>
          <w:rtl/>
        </w:rPr>
        <w:t>عدد الزيارات</w:t>
      </w:r>
      <w:r w:rsidR="00BE295E">
        <w:rPr>
          <w:rtl/>
        </w:rPr>
        <w:t>،</w:t>
      </w:r>
      <w:r w:rsidR="005C0B3B">
        <w:rPr>
          <w:rtl/>
        </w:rPr>
        <w:t xml:space="preserve"> ولكن يمكن أن تكون عاملاً مهمًا</w:t>
      </w:r>
      <w:r w:rsidR="00592CDF">
        <w:rPr>
          <w:rFonts w:hint="cs"/>
          <w:rtl/>
        </w:rPr>
        <w:t xml:space="preserve"> في ذلك</w:t>
      </w:r>
      <w:r w:rsidR="005C0B3B">
        <w:rPr>
          <w:rtl/>
        </w:rPr>
        <w:t>.</w:t>
      </w:r>
    </w:p>
    <w:p w14:paraId="14511EB6" w14:textId="78D75B4C" w:rsidR="005C0B3B" w:rsidRDefault="00CD4099" w:rsidP="005C0B3B">
      <w:pPr>
        <w:pStyle w:val="ONUMA"/>
      </w:pPr>
      <w:r>
        <w:rPr>
          <w:rFonts w:hint="cs"/>
          <w:rtl/>
        </w:rPr>
        <w:t>و</w:t>
      </w:r>
      <w:r w:rsidR="005C0B3B">
        <w:rPr>
          <w:rtl/>
        </w:rPr>
        <w:t>على سبيل المثال</w:t>
      </w:r>
      <w:r w:rsidR="00BE295E">
        <w:rPr>
          <w:rtl/>
        </w:rPr>
        <w:t>،</w:t>
      </w:r>
      <w:r w:rsidR="005C0B3B">
        <w:rPr>
          <w:rtl/>
        </w:rPr>
        <w:t xml:space="preserve"> </w:t>
      </w:r>
      <w:r>
        <w:rPr>
          <w:rFonts w:hint="cs"/>
          <w:rtl/>
        </w:rPr>
        <w:t>قُدمت</w:t>
      </w:r>
      <w:r w:rsidR="005C0B3B">
        <w:rPr>
          <w:rtl/>
        </w:rPr>
        <w:t xml:space="preserve"> تقارير عام 2019 في أواخر عام 2020 </w:t>
      </w:r>
      <w:r>
        <w:rPr>
          <w:rFonts w:hint="cs"/>
          <w:rtl/>
        </w:rPr>
        <w:t>ونُشرت</w:t>
      </w:r>
      <w:r w:rsidR="005C0B3B">
        <w:rPr>
          <w:rtl/>
        </w:rPr>
        <w:t xml:space="preserve"> في عام 2021. وعلى الرغم من عدم نشر الصفحات مطلقًا</w:t>
      </w:r>
      <w:r w:rsidR="00BE295E">
        <w:rPr>
          <w:rtl/>
        </w:rPr>
        <w:t>،</w:t>
      </w:r>
      <w:r w:rsidR="005C0B3B">
        <w:rPr>
          <w:rtl/>
        </w:rPr>
        <w:t xml:space="preserve"> تُظهر </w:t>
      </w:r>
      <w:r>
        <w:rPr>
          <w:rFonts w:hint="cs"/>
          <w:rtl/>
        </w:rPr>
        <w:t>ال</w:t>
      </w:r>
      <w:r w:rsidR="005C0B3B">
        <w:rPr>
          <w:rtl/>
        </w:rPr>
        <w:t xml:space="preserve">إحصاءات </w:t>
      </w:r>
      <w:r>
        <w:rPr>
          <w:rFonts w:hint="cs"/>
          <w:rtl/>
        </w:rPr>
        <w:t>الإلكترونية للويبو</w:t>
      </w:r>
      <w:r w:rsidR="005C0B3B">
        <w:rPr>
          <w:rtl/>
        </w:rPr>
        <w:t xml:space="preserve"> لعام 2020 أن صفحات </w:t>
      </w:r>
      <w:r>
        <w:rPr>
          <w:rFonts w:hint="cs"/>
          <w:rtl/>
        </w:rPr>
        <w:t>التقارير</w:t>
      </w:r>
      <w:r w:rsidR="005C0B3B">
        <w:rPr>
          <w:rtl/>
        </w:rPr>
        <w:t xml:space="preserve"> لعام 2020 قد </w:t>
      </w:r>
      <w:r>
        <w:rPr>
          <w:rFonts w:hint="cs"/>
          <w:rtl/>
        </w:rPr>
        <w:t>تلقت</w:t>
      </w:r>
      <w:r w:rsidR="005C0B3B">
        <w:rPr>
          <w:rtl/>
        </w:rPr>
        <w:t xml:space="preserve"> 112 زيارة في عام 2020. ويمكن أن تأتي هذه الزيارات فقط من </w:t>
      </w:r>
      <w:r w:rsidR="00122D17">
        <w:rPr>
          <w:rFonts w:hint="cs"/>
          <w:rtl/>
        </w:rPr>
        <w:t>مكاتب الملكية الفكرية</w:t>
      </w:r>
      <w:r w:rsidR="005C0B3B">
        <w:rPr>
          <w:rtl/>
        </w:rPr>
        <w:t xml:space="preserve"> التي </w:t>
      </w:r>
      <w:r w:rsidR="00122D17">
        <w:rPr>
          <w:rFonts w:hint="cs"/>
          <w:rtl/>
        </w:rPr>
        <w:t>قدمت التقارير</w:t>
      </w:r>
      <w:r w:rsidR="005C0B3B">
        <w:rPr>
          <w:rtl/>
        </w:rPr>
        <w:t xml:space="preserve">. </w:t>
      </w:r>
      <w:r w:rsidR="0069026A">
        <w:rPr>
          <w:rFonts w:hint="cs"/>
          <w:rtl/>
        </w:rPr>
        <w:t>وبما أن صفحات التقارير تتلقى في</w:t>
      </w:r>
      <w:r w:rsidR="005C0B3B">
        <w:rPr>
          <w:rtl/>
        </w:rPr>
        <w:t xml:space="preserve"> معظم الحالات ما بين 100 و200 زيارة في سنة النشر</w:t>
      </w:r>
      <w:r w:rsidR="00BE295E">
        <w:rPr>
          <w:rtl/>
        </w:rPr>
        <w:t>،</w:t>
      </w:r>
      <w:r w:rsidR="005C0B3B">
        <w:rPr>
          <w:rtl/>
        </w:rPr>
        <w:t xml:space="preserve"> يبدو أن غالبية هذه الزيارات يمكن أن تأتي من </w:t>
      </w:r>
      <w:r w:rsidR="00543B46">
        <w:rPr>
          <w:rFonts w:hint="cs"/>
          <w:rtl/>
        </w:rPr>
        <w:t>مكاتب الملكية الفكرية</w:t>
      </w:r>
      <w:r w:rsidR="005C0B3B">
        <w:rPr>
          <w:rtl/>
        </w:rPr>
        <w:t xml:space="preserve"> التي تقدمها وليس من المستخدمين النهائيين. </w:t>
      </w:r>
      <w:r w:rsidR="00543B46">
        <w:rPr>
          <w:rFonts w:hint="cs"/>
          <w:rtl/>
        </w:rPr>
        <w:t>و</w:t>
      </w:r>
      <w:r w:rsidR="005C0B3B">
        <w:rPr>
          <w:rtl/>
        </w:rPr>
        <w:t xml:space="preserve">من غير المعروف من أين تأتي </w:t>
      </w:r>
      <w:r w:rsidR="00AD2BC9">
        <w:rPr>
          <w:rFonts w:hint="cs"/>
          <w:rtl/>
        </w:rPr>
        <w:t>زيارات</w:t>
      </w:r>
      <w:r w:rsidR="005C0B3B">
        <w:rPr>
          <w:rtl/>
        </w:rPr>
        <w:t xml:space="preserve"> الصفح</w:t>
      </w:r>
      <w:r w:rsidR="00DE76B4">
        <w:rPr>
          <w:rFonts w:hint="cs"/>
          <w:rtl/>
        </w:rPr>
        <w:t>ات</w:t>
      </w:r>
      <w:r w:rsidR="005C0B3B">
        <w:rPr>
          <w:rtl/>
        </w:rPr>
        <w:t xml:space="preserve"> في السنة الثانية بعد نشر </w:t>
      </w:r>
      <w:r w:rsidR="00AD2BC9">
        <w:rPr>
          <w:rFonts w:hint="cs"/>
          <w:rtl/>
        </w:rPr>
        <w:t>التقارير</w:t>
      </w:r>
      <w:r w:rsidR="00BE295E">
        <w:rPr>
          <w:rtl/>
        </w:rPr>
        <w:t>،</w:t>
      </w:r>
      <w:r w:rsidR="005C0B3B">
        <w:rPr>
          <w:rtl/>
        </w:rPr>
        <w:t xml:space="preserve"> ولكن من المحتمل أن يأتي الكثير من</w:t>
      </w:r>
      <w:r w:rsidR="00AD2BC9">
        <w:rPr>
          <w:rFonts w:hint="cs"/>
          <w:rtl/>
        </w:rPr>
        <w:t>ها</w:t>
      </w:r>
      <w:r w:rsidR="005C0B3B">
        <w:rPr>
          <w:rtl/>
        </w:rPr>
        <w:t xml:space="preserve"> </w:t>
      </w:r>
      <w:r w:rsidR="00AD2BC9">
        <w:rPr>
          <w:rFonts w:hint="cs"/>
          <w:rtl/>
        </w:rPr>
        <w:t>من مكاتب الملكية الفكرية</w:t>
      </w:r>
      <w:r w:rsidR="00BE295E">
        <w:rPr>
          <w:rtl/>
        </w:rPr>
        <w:t>،</w:t>
      </w:r>
      <w:r w:rsidR="005C0B3B">
        <w:rPr>
          <w:rtl/>
        </w:rPr>
        <w:t xml:space="preserve"> </w:t>
      </w:r>
      <w:r w:rsidR="00207E3F">
        <w:rPr>
          <w:rFonts w:hint="cs"/>
          <w:rtl/>
        </w:rPr>
        <w:t>على اعتبار أنها</w:t>
      </w:r>
      <w:r w:rsidR="005C0B3B">
        <w:rPr>
          <w:rtl/>
        </w:rPr>
        <w:t xml:space="preserve"> تراجع تقاريرها السابقة للتحضير للسنة الحالية. </w:t>
      </w:r>
      <w:r w:rsidR="00207E3F">
        <w:rPr>
          <w:rFonts w:hint="cs"/>
          <w:rtl/>
        </w:rPr>
        <w:t>و</w:t>
      </w:r>
      <w:r w:rsidR="005C0B3B">
        <w:rPr>
          <w:rtl/>
        </w:rPr>
        <w:t>لذلك</w:t>
      </w:r>
      <w:r w:rsidR="00BE295E">
        <w:rPr>
          <w:rtl/>
        </w:rPr>
        <w:t>،</w:t>
      </w:r>
      <w:r w:rsidR="005C0B3B">
        <w:rPr>
          <w:rtl/>
        </w:rPr>
        <w:t xml:space="preserve"> من المرجح أن يكون عدد المرات التي يقوم فيها المستخدمون الفعليون بزيارة </w:t>
      </w:r>
      <w:r w:rsidR="00207E3F">
        <w:rPr>
          <w:rFonts w:hint="cs"/>
          <w:rtl/>
        </w:rPr>
        <w:t>صفحات التقارير</w:t>
      </w:r>
      <w:r w:rsidR="005C0B3B">
        <w:rPr>
          <w:rtl/>
        </w:rPr>
        <w:t xml:space="preserve"> أقل بكثير من الأرقام التي قدمتها </w:t>
      </w:r>
      <w:r w:rsidR="00207E3F">
        <w:rPr>
          <w:rFonts w:hint="cs"/>
          <w:rtl/>
        </w:rPr>
        <w:t>ال</w:t>
      </w:r>
      <w:r w:rsidR="005C0B3B">
        <w:rPr>
          <w:rtl/>
        </w:rPr>
        <w:t xml:space="preserve">إحصاءات </w:t>
      </w:r>
      <w:r w:rsidR="00207E3F">
        <w:rPr>
          <w:rFonts w:hint="cs"/>
          <w:rtl/>
        </w:rPr>
        <w:t>الإلكترونية</w:t>
      </w:r>
      <w:r w:rsidR="005C0B3B">
        <w:rPr>
          <w:rtl/>
        </w:rPr>
        <w:t xml:space="preserve"> للويبو </w:t>
      </w:r>
      <w:r w:rsidR="00207E3F">
        <w:rPr>
          <w:rFonts w:hint="cs"/>
          <w:rtl/>
        </w:rPr>
        <w:t>الواردة</w:t>
      </w:r>
      <w:r w:rsidR="005C0B3B">
        <w:rPr>
          <w:rtl/>
        </w:rPr>
        <w:t xml:space="preserve"> أعلاه.</w:t>
      </w:r>
    </w:p>
    <w:p w14:paraId="0713DB1A" w14:textId="77777777" w:rsidR="005C0B3B" w:rsidRPr="00BE559E" w:rsidRDefault="005C0B3B" w:rsidP="00BE559E">
      <w:pPr>
        <w:pStyle w:val="Heading2"/>
        <w:rPr>
          <w:i/>
          <w:iCs w:val="0"/>
          <w:lang w:eastAsia="en-US"/>
        </w:rPr>
      </w:pPr>
      <w:r w:rsidRPr="00BE559E">
        <w:rPr>
          <w:i/>
          <w:iCs w:val="0"/>
          <w:rtl/>
          <w:lang w:eastAsia="en-US"/>
        </w:rPr>
        <w:t>اقتراحات</w:t>
      </w:r>
    </w:p>
    <w:p w14:paraId="14AB4258" w14:textId="26048E6C" w:rsidR="00BE559E" w:rsidRDefault="005C0B3B" w:rsidP="00BE559E">
      <w:pPr>
        <w:pStyle w:val="ONUMA"/>
      </w:pPr>
      <w:r>
        <w:rPr>
          <w:rtl/>
        </w:rPr>
        <w:t>استناداً إلى النتائج المذكورة أعلاه</w:t>
      </w:r>
      <w:r w:rsidR="00DE76B4">
        <w:rPr>
          <w:rFonts w:hint="cs"/>
          <w:rtl/>
        </w:rPr>
        <w:t>-</w:t>
      </w:r>
      <w:r>
        <w:rPr>
          <w:rtl/>
        </w:rPr>
        <w:t xml:space="preserve"> أي توافر المعلومات في التقارير السنوية </w:t>
      </w:r>
      <w:r w:rsidR="00DE76B4">
        <w:rPr>
          <w:rFonts w:hint="cs"/>
          <w:rtl/>
        </w:rPr>
        <w:t>ل</w:t>
      </w:r>
      <w:r w:rsidR="00DE76B4" w:rsidRPr="00DE76B4">
        <w:rPr>
          <w:rtl/>
        </w:rPr>
        <w:t xml:space="preserve">مكاتب الملكية الفكرية </w:t>
      </w:r>
      <w:r>
        <w:rPr>
          <w:rtl/>
        </w:rPr>
        <w:t>وعلى مواقع</w:t>
      </w:r>
      <w:r w:rsidR="00DE76B4">
        <w:rPr>
          <w:rFonts w:hint="cs"/>
          <w:rtl/>
        </w:rPr>
        <w:t>ها</w:t>
      </w:r>
      <w:r>
        <w:rPr>
          <w:rtl/>
        </w:rPr>
        <w:t xml:space="preserve"> </w:t>
      </w:r>
      <w:r w:rsidR="00DE76B4">
        <w:rPr>
          <w:rFonts w:hint="cs"/>
          <w:rtl/>
        </w:rPr>
        <w:t>الإلكترونية</w:t>
      </w:r>
      <w:r w:rsidR="00BE295E">
        <w:rPr>
          <w:rtl/>
        </w:rPr>
        <w:t>،</w:t>
      </w:r>
      <w:r>
        <w:rPr>
          <w:rtl/>
        </w:rPr>
        <w:t xml:space="preserve"> </w:t>
      </w:r>
      <w:r w:rsidR="00472EF6">
        <w:rPr>
          <w:rFonts w:hint="cs"/>
          <w:rtl/>
        </w:rPr>
        <w:t>وتراجع</w:t>
      </w:r>
      <w:r>
        <w:rPr>
          <w:rtl/>
        </w:rPr>
        <w:t xml:space="preserve"> عدد </w:t>
      </w:r>
      <w:r w:rsidR="00472EF6">
        <w:rPr>
          <w:rFonts w:hint="cs"/>
          <w:rtl/>
        </w:rPr>
        <w:t>التقارير</w:t>
      </w:r>
      <w:r>
        <w:rPr>
          <w:rtl/>
        </w:rPr>
        <w:t xml:space="preserve"> المقدمة</w:t>
      </w:r>
      <w:r w:rsidR="00472EF6">
        <w:rPr>
          <w:rFonts w:hint="cs"/>
          <w:rtl/>
        </w:rPr>
        <w:t>،</w:t>
      </w:r>
      <w:r>
        <w:rPr>
          <w:rtl/>
        </w:rPr>
        <w:t xml:space="preserve"> </w:t>
      </w:r>
      <w:r w:rsidR="00472EF6">
        <w:rPr>
          <w:rFonts w:hint="cs"/>
          <w:rtl/>
        </w:rPr>
        <w:t>وتدني</w:t>
      </w:r>
      <w:r>
        <w:rPr>
          <w:rtl/>
        </w:rPr>
        <w:t xml:space="preserve"> عدد الزيارات إلى </w:t>
      </w:r>
      <w:r w:rsidR="00472EF6">
        <w:rPr>
          <w:rFonts w:hint="cs"/>
          <w:rtl/>
        </w:rPr>
        <w:t>صفحات التقارير</w:t>
      </w:r>
      <w:r w:rsidR="00A7527A">
        <w:rPr>
          <w:rFonts w:hint="cs"/>
          <w:rtl/>
        </w:rPr>
        <w:t>-</w:t>
      </w:r>
      <w:r>
        <w:rPr>
          <w:rtl/>
        </w:rPr>
        <w:t xml:space="preserve"> يقترح المكتب الدولي الخيارين التاليين فيما يتعلق </w:t>
      </w:r>
      <w:r w:rsidR="00A7527A">
        <w:rPr>
          <w:rFonts w:hint="cs"/>
          <w:rtl/>
        </w:rPr>
        <w:t>ب</w:t>
      </w:r>
      <w:r>
        <w:rPr>
          <w:rtl/>
        </w:rPr>
        <w:t>التغييرات</w:t>
      </w:r>
      <w:r w:rsidR="00A7527A">
        <w:rPr>
          <w:rFonts w:hint="cs"/>
          <w:rtl/>
        </w:rPr>
        <w:t xml:space="preserve"> المحبذ إجراؤها</w:t>
      </w:r>
      <w:r>
        <w:rPr>
          <w:rtl/>
        </w:rPr>
        <w:t xml:space="preserve"> </w:t>
      </w:r>
      <w:r w:rsidR="00A7527A">
        <w:rPr>
          <w:rFonts w:hint="cs"/>
          <w:rtl/>
        </w:rPr>
        <w:t>على</w:t>
      </w:r>
      <w:r>
        <w:rPr>
          <w:rtl/>
        </w:rPr>
        <w:t xml:space="preserve"> التقارير </w:t>
      </w:r>
      <w:r w:rsidR="00A7527A">
        <w:rPr>
          <w:rFonts w:hint="cs"/>
          <w:rtl/>
        </w:rPr>
        <w:t>التقنية</w:t>
      </w:r>
      <w:r>
        <w:rPr>
          <w:rtl/>
        </w:rPr>
        <w:t xml:space="preserve"> السنوية:</w:t>
      </w:r>
    </w:p>
    <w:p w14:paraId="026981C8" w14:textId="573FEC14" w:rsidR="005C0B3B" w:rsidRDefault="005C0B3B" w:rsidP="002027EB">
      <w:pPr>
        <w:pStyle w:val="ONUMA"/>
        <w:numPr>
          <w:ilvl w:val="0"/>
          <w:numId w:val="38"/>
        </w:numPr>
        <w:ind w:left="850" w:hanging="284"/>
      </w:pPr>
      <w:r w:rsidRPr="00C43668">
        <w:rPr>
          <w:b/>
          <w:bCs/>
          <w:rtl/>
        </w:rPr>
        <w:t xml:space="preserve">التوقف عن </w:t>
      </w:r>
      <w:r w:rsidR="00EE6229" w:rsidRPr="00C43668">
        <w:rPr>
          <w:rFonts w:hint="cs"/>
          <w:b/>
          <w:bCs/>
          <w:rtl/>
        </w:rPr>
        <w:t>إعداد التقارير التقنية السنوية</w:t>
      </w:r>
      <w:r>
        <w:rPr>
          <w:rtl/>
        </w:rPr>
        <w:t>: نظرًا ل</w:t>
      </w:r>
      <w:r w:rsidR="00600E7F">
        <w:rPr>
          <w:rFonts w:hint="cs"/>
          <w:rtl/>
        </w:rPr>
        <w:t xml:space="preserve">وجود </w:t>
      </w:r>
      <w:r>
        <w:rPr>
          <w:rtl/>
        </w:rPr>
        <w:t>نقص واضح في الاهتمام</w:t>
      </w:r>
      <w:r w:rsidR="00600E7F">
        <w:rPr>
          <w:rFonts w:hint="cs"/>
          <w:rtl/>
        </w:rPr>
        <w:t xml:space="preserve"> بها</w:t>
      </w:r>
      <w:r>
        <w:rPr>
          <w:rtl/>
        </w:rPr>
        <w:t xml:space="preserve"> </w:t>
      </w:r>
      <w:r w:rsidR="00600E7F">
        <w:rPr>
          <w:rFonts w:hint="cs"/>
          <w:rtl/>
        </w:rPr>
        <w:t>واستخدامها</w:t>
      </w:r>
      <w:r w:rsidR="00BE295E">
        <w:rPr>
          <w:rtl/>
        </w:rPr>
        <w:t>،</w:t>
      </w:r>
      <w:r>
        <w:rPr>
          <w:rtl/>
        </w:rPr>
        <w:t xml:space="preserve"> قد يكون من الضروري التوقف عن </w:t>
      </w:r>
      <w:r w:rsidR="00600E7F">
        <w:rPr>
          <w:rFonts w:hint="cs"/>
          <w:rtl/>
        </w:rPr>
        <w:t>إعداد هذه التقارير</w:t>
      </w:r>
      <w:r>
        <w:rPr>
          <w:rtl/>
        </w:rPr>
        <w:t xml:space="preserve">. </w:t>
      </w:r>
      <w:r w:rsidR="005153F3">
        <w:rPr>
          <w:rFonts w:hint="cs"/>
          <w:rtl/>
        </w:rPr>
        <w:t>و</w:t>
      </w:r>
      <w:r>
        <w:rPr>
          <w:rtl/>
        </w:rPr>
        <w:t xml:space="preserve">يمكن </w:t>
      </w:r>
      <w:r w:rsidR="00334991">
        <w:rPr>
          <w:rFonts w:hint="cs"/>
          <w:rtl/>
        </w:rPr>
        <w:t>إلغاؤها</w:t>
      </w:r>
      <w:r>
        <w:rPr>
          <w:rtl/>
        </w:rPr>
        <w:t xml:space="preserve"> تدريجيًا على مدار عامين بحيث يكون لدى </w:t>
      </w:r>
      <w:r w:rsidR="005153F3">
        <w:rPr>
          <w:rFonts w:hint="cs"/>
          <w:rtl/>
        </w:rPr>
        <w:t>مصدِريها</w:t>
      </w:r>
      <w:r>
        <w:rPr>
          <w:rtl/>
        </w:rPr>
        <w:t xml:space="preserve"> </w:t>
      </w:r>
      <w:r w:rsidR="005153F3">
        <w:rPr>
          <w:rFonts w:hint="cs"/>
          <w:rtl/>
        </w:rPr>
        <w:t>ومستخدميها</w:t>
      </w:r>
      <w:r>
        <w:rPr>
          <w:rtl/>
        </w:rPr>
        <w:t xml:space="preserve"> الوقت </w:t>
      </w:r>
      <w:r w:rsidR="003E4CF2">
        <w:rPr>
          <w:rFonts w:hint="cs"/>
          <w:rtl/>
        </w:rPr>
        <w:t>ل</w:t>
      </w:r>
      <w:r>
        <w:rPr>
          <w:rtl/>
        </w:rPr>
        <w:t xml:space="preserve">طرح أي </w:t>
      </w:r>
      <w:r w:rsidR="003E4CF2">
        <w:rPr>
          <w:rFonts w:hint="cs"/>
          <w:rtl/>
        </w:rPr>
        <w:t>مسائل</w:t>
      </w:r>
      <w:r>
        <w:rPr>
          <w:rtl/>
        </w:rPr>
        <w:t xml:space="preserve"> </w:t>
      </w:r>
      <w:r w:rsidR="003E4CF2">
        <w:rPr>
          <w:rFonts w:hint="cs"/>
          <w:rtl/>
        </w:rPr>
        <w:t>تؤرق بالهم</w:t>
      </w:r>
      <w:r>
        <w:rPr>
          <w:rtl/>
        </w:rPr>
        <w:t xml:space="preserve">. </w:t>
      </w:r>
      <w:r w:rsidR="005153F3">
        <w:rPr>
          <w:rFonts w:hint="cs"/>
          <w:rtl/>
        </w:rPr>
        <w:t>و</w:t>
      </w:r>
      <w:r>
        <w:rPr>
          <w:rtl/>
        </w:rPr>
        <w:t xml:space="preserve">خلال فترة </w:t>
      </w:r>
      <w:r w:rsidR="00334991">
        <w:rPr>
          <w:rFonts w:hint="cs"/>
          <w:rtl/>
        </w:rPr>
        <w:t>الإلغاء</w:t>
      </w:r>
      <w:r>
        <w:rPr>
          <w:rtl/>
        </w:rPr>
        <w:t xml:space="preserve"> التدريجي</w:t>
      </w:r>
      <w:r w:rsidR="00BE295E">
        <w:rPr>
          <w:rtl/>
        </w:rPr>
        <w:t>،</w:t>
      </w:r>
      <w:r>
        <w:rPr>
          <w:rtl/>
        </w:rPr>
        <w:t xml:space="preserve"> ستظل</w:t>
      </w:r>
      <w:r w:rsidR="005153F3">
        <w:rPr>
          <w:rFonts w:hint="cs"/>
          <w:rtl/>
        </w:rPr>
        <w:t xml:space="preserve"> تلك</w:t>
      </w:r>
      <w:r>
        <w:rPr>
          <w:rtl/>
        </w:rPr>
        <w:t xml:space="preserve"> </w:t>
      </w:r>
      <w:r w:rsidR="005153F3">
        <w:rPr>
          <w:rFonts w:hint="cs"/>
          <w:rtl/>
        </w:rPr>
        <w:t>ال</w:t>
      </w:r>
      <w:r>
        <w:rPr>
          <w:rtl/>
        </w:rPr>
        <w:t xml:space="preserve">تقارير المنشورة متاحة. </w:t>
      </w:r>
      <w:r w:rsidR="005153F3">
        <w:rPr>
          <w:rFonts w:hint="cs"/>
          <w:rtl/>
        </w:rPr>
        <w:t>و</w:t>
      </w:r>
      <w:r>
        <w:rPr>
          <w:rtl/>
        </w:rPr>
        <w:t xml:space="preserve">نظرًا </w:t>
      </w:r>
      <w:r w:rsidR="00777548">
        <w:rPr>
          <w:rFonts w:hint="cs"/>
          <w:rtl/>
        </w:rPr>
        <w:t>لتلقي عدد</w:t>
      </w:r>
      <w:r>
        <w:rPr>
          <w:rtl/>
        </w:rPr>
        <w:t xml:space="preserve"> قليل من المجموعات في عام 2021 (ستة مكاتب</w:t>
      </w:r>
      <w:r w:rsidR="00777548">
        <w:rPr>
          <w:rFonts w:hint="cs"/>
          <w:rtl/>
        </w:rPr>
        <w:t xml:space="preserve"> للملكية الفكرية استجابت</w:t>
      </w:r>
      <w:r>
        <w:rPr>
          <w:rtl/>
        </w:rPr>
        <w:t xml:space="preserve"> فقط)</w:t>
      </w:r>
      <w:r w:rsidR="00BE295E">
        <w:rPr>
          <w:rtl/>
        </w:rPr>
        <w:t>،</w:t>
      </w:r>
      <w:r>
        <w:rPr>
          <w:rtl/>
        </w:rPr>
        <w:t xml:space="preserve"> يوصي المكتب الدولي بعدم تجميع المزيد من </w:t>
      </w:r>
      <w:r w:rsidR="00334991">
        <w:rPr>
          <w:rFonts w:hint="cs"/>
          <w:rtl/>
        </w:rPr>
        <w:t>التقارير</w:t>
      </w:r>
      <w:r>
        <w:rPr>
          <w:rtl/>
        </w:rPr>
        <w:t xml:space="preserve"> اعتبارًا من عام 2022. </w:t>
      </w:r>
      <w:r w:rsidR="00334991">
        <w:rPr>
          <w:rFonts w:hint="cs"/>
          <w:rtl/>
        </w:rPr>
        <w:t>و</w:t>
      </w:r>
      <w:r>
        <w:rPr>
          <w:rtl/>
        </w:rPr>
        <w:t>بعد انقضاء فترة الإلغاء التدريجي</w:t>
      </w:r>
      <w:r w:rsidR="00BE295E">
        <w:rPr>
          <w:rtl/>
        </w:rPr>
        <w:t>،</w:t>
      </w:r>
      <w:r>
        <w:rPr>
          <w:rtl/>
        </w:rPr>
        <w:t xml:space="preserve"> سيتم أرشفة </w:t>
      </w:r>
      <w:r w:rsidR="00334991">
        <w:rPr>
          <w:rFonts w:hint="cs"/>
          <w:rtl/>
        </w:rPr>
        <w:t>التقارير</w:t>
      </w:r>
      <w:r>
        <w:rPr>
          <w:rtl/>
        </w:rPr>
        <w:t xml:space="preserve"> المنشورة </w:t>
      </w:r>
      <w:r w:rsidR="00334991">
        <w:rPr>
          <w:rFonts w:hint="cs"/>
          <w:rtl/>
        </w:rPr>
        <w:t>إلكترونيا</w:t>
      </w:r>
      <w:r>
        <w:rPr>
          <w:rtl/>
        </w:rPr>
        <w:t xml:space="preserve"> مثل المعلومات التاريخية الأخرى.</w:t>
      </w:r>
    </w:p>
    <w:p w14:paraId="30D2937B" w14:textId="3CB56E8E" w:rsidR="00445486" w:rsidRDefault="005C0B3B" w:rsidP="002027EB">
      <w:pPr>
        <w:pStyle w:val="ONUMA"/>
        <w:numPr>
          <w:ilvl w:val="0"/>
          <w:numId w:val="38"/>
        </w:numPr>
        <w:ind w:left="850" w:hanging="284"/>
      </w:pPr>
      <w:r w:rsidRPr="00D242A7">
        <w:rPr>
          <w:b/>
          <w:bCs/>
          <w:rtl/>
        </w:rPr>
        <w:t xml:space="preserve">تبسيط </w:t>
      </w:r>
      <w:r w:rsidR="008C2C3E" w:rsidRPr="00D242A7">
        <w:rPr>
          <w:rFonts w:hint="cs"/>
          <w:b/>
          <w:bCs/>
          <w:rtl/>
        </w:rPr>
        <w:t xml:space="preserve">عملية </w:t>
      </w:r>
      <w:r w:rsidRPr="00D242A7">
        <w:rPr>
          <w:b/>
          <w:bCs/>
          <w:rtl/>
        </w:rPr>
        <w:t xml:space="preserve">تجميع </w:t>
      </w:r>
      <w:r w:rsidR="008C2C3E" w:rsidRPr="00D242A7">
        <w:rPr>
          <w:rFonts w:hint="cs"/>
          <w:b/>
          <w:bCs/>
          <w:rtl/>
        </w:rPr>
        <w:t>التقارير التقنية السنوية</w:t>
      </w:r>
      <w:r w:rsidRPr="00D242A7">
        <w:rPr>
          <w:b/>
          <w:bCs/>
          <w:rtl/>
        </w:rPr>
        <w:t>:</w:t>
      </w:r>
      <w:r>
        <w:rPr>
          <w:rtl/>
        </w:rPr>
        <w:t xml:space="preserve"> إذا قررت </w:t>
      </w:r>
      <w:r w:rsidR="00D242A7">
        <w:rPr>
          <w:rFonts w:hint="cs"/>
          <w:rtl/>
        </w:rPr>
        <w:t>لجنة المعايير</w:t>
      </w:r>
      <w:r>
        <w:rPr>
          <w:rtl/>
        </w:rPr>
        <w:t xml:space="preserve"> مواصلة تجميع </w:t>
      </w:r>
      <w:r w:rsidR="00D242A7">
        <w:rPr>
          <w:rFonts w:hint="cs"/>
          <w:rtl/>
        </w:rPr>
        <w:t>هذه التقارير</w:t>
      </w:r>
      <w:r w:rsidR="00BE295E">
        <w:rPr>
          <w:rtl/>
        </w:rPr>
        <w:t>،</w:t>
      </w:r>
      <w:r>
        <w:rPr>
          <w:rtl/>
        </w:rPr>
        <w:t xml:space="preserve"> يقترح المكتب الدولي تبسيط العملية إلى حد كبير. </w:t>
      </w:r>
      <w:r w:rsidR="006C113F">
        <w:rPr>
          <w:rFonts w:hint="cs"/>
          <w:rtl/>
        </w:rPr>
        <w:t>ف</w:t>
      </w:r>
      <w:r>
        <w:rPr>
          <w:rtl/>
        </w:rPr>
        <w:t>بدلاً من مطالبة مكاتب الملكية الفكرية بتقديم نص مفصل عن أنشطتها وأنظمتها</w:t>
      </w:r>
      <w:r w:rsidR="00BE295E">
        <w:rPr>
          <w:rtl/>
        </w:rPr>
        <w:t>،</w:t>
      </w:r>
      <w:r>
        <w:rPr>
          <w:rtl/>
        </w:rPr>
        <w:t xml:space="preserve"> سيُطلب منه</w:t>
      </w:r>
      <w:r w:rsidR="006C113F">
        <w:rPr>
          <w:rFonts w:hint="cs"/>
          <w:rtl/>
        </w:rPr>
        <w:t>ا</w:t>
      </w:r>
      <w:r>
        <w:rPr>
          <w:rtl/>
        </w:rPr>
        <w:t xml:space="preserve"> </w:t>
      </w:r>
      <w:r w:rsidR="00D242A7">
        <w:rPr>
          <w:rFonts w:hint="cs"/>
          <w:rtl/>
        </w:rPr>
        <w:t>إتاحة</w:t>
      </w:r>
      <w:r>
        <w:rPr>
          <w:rtl/>
        </w:rPr>
        <w:t xml:space="preserve"> روابط </w:t>
      </w:r>
      <w:r w:rsidR="006C113F">
        <w:rPr>
          <w:rFonts w:hint="cs"/>
          <w:rtl/>
        </w:rPr>
        <w:t xml:space="preserve">تؤدي إلى </w:t>
      </w:r>
      <w:r>
        <w:rPr>
          <w:rtl/>
        </w:rPr>
        <w:t>مواقعه</w:t>
      </w:r>
      <w:r w:rsidR="00D242A7">
        <w:rPr>
          <w:rFonts w:hint="cs"/>
          <w:rtl/>
        </w:rPr>
        <w:t>ا</w:t>
      </w:r>
      <w:r>
        <w:rPr>
          <w:rtl/>
        </w:rPr>
        <w:t xml:space="preserve"> الإلكترونية أو تقاريره</w:t>
      </w:r>
      <w:r w:rsidR="00D242A7">
        <w:rPr>
          <w:rFonts w:hint="cs"/>
          <w:rtl/>
        </w:rPr>
        <w:t>ا</w:t>
      </w:r>
      <w:r>
        <w:rPr>
          <w:rtl/>
        </w:rPr>
        <w:t xml:space="preserve"> السنوية</w:t>
      </w:r>
      <w:r w:rsidR="00BE295E">
        <w:rPr>
          <w:rtl/>
        </w:rPr>
        <w:t>،</w:t>
      </w:r>
      <w:r>
        <w:rPr>
          <w:rtl/>
        </w:rPr>
        <w:t xml:space="preserve"> </w:t>
      </w:r>
      <w:r w:rsidR="00D242A7">
        <w:rPr>
          <w:rFonts w:hint="cs"/>
          <w:rtl/>
        </w:rPr>
        <w:t>وهو ما سيمكن من</w:t>
      </w:r>
      <w:r>
        <w:rPr>
          <w:rtl/>
        </w:rPr>
        <w:t xml:space="preserve"> </w:t>
      </w:r>
      <w:r w:rsidR="00D242A7">
        <w:rPr>
          <w:rFonts w:hint="cs"/>
          <w:rtl/>
        </w:rPr>
        <w:t>الاطلاع</w:t>
      </w:r>
      <w:r>
        <w:rPr>
          <w:rtl/>
        </w:rPr>
        <w:t xml:space="preserve"> على المعلومات </w:t>
      </w:r>
      <w:r w:rsidR="00D242A7">
        <w:rPr>
          <w:rFonts w:hint="cs"/>
          <w:rtl/>
        </w:rPr>
        <w:t>حول</w:t>
      </w:r>
      <w:r>
        <w:rPr>
          <w:rtl/>
        </w:rPr>
        <w:t xml:space="preserve"> استبيانات </w:t>
      </w:r>
      <w:r w:rsidR="00D242A7">
        <w:rPr>
          <w:rFonts w:hint="cs"/>
          <w:rtl/>
        </w:rPr>
        <w:t>التقارير</w:t>
      </w:r>
      <w:r>
        <w:rPr>
          <w:rtl/>
        </w:rPr>
        <w:t xml:space="preserve"> الحالية. </w:t>
      </w:r>
      <w:r w:rsidR="00F7203E">
        <w:rPr>
          <w:rFonts w:hint="cs"/>
          <w:rtl/>
        </w:rPr>
        <w:t>و</w:t>
      </w:r>
      <w:r>
        <w:rPr>
          <w:rtl/>
        </w:rPr>
        <w:t>ي</w:t>
      </w:r>
      <w:r w:rsidR="006C113F">
        <w:rPr>
          <w:rFonts w:hint="cs"/>
          <w:rtl/>
        </w:rPr>
        <w:t>ُ</w:t>
      </w:r>
      <w:r>
        <w:rPr>
          <w:rtl/>
        </w:rPr>
        <w:t xml:space="preserve">فضل </w:t>
      </w:r>
      <w:r w:rsidR="00F7203E">
        <w:rPr>
          <w:rFonts w:hint="cs"/>
          <w:rtl/>
        </w:rPr>
        <w:t>عرض</w:t>
      </w:r>
      <w:r>
        <w:rPr>
          <w:rtl/>
        </w:rPr>
        <w:t xml:space="preserve"> المعلومات </w:t>
      </w:r>
      <w:r w:rsidR="006C113F">
        <w:rPr>
          <w:rFonts w:hint="cs"/>
          <w:rtl/>
        </w:rPr>
        <w:t>التي تؤدي إليها الروابط</w:t>
      </w:r>
      <w:r>
        <w:rPr>
          <w:rtl/>
        </w:rPr>
        <w:t xml:space="preserve"> باللغات الإن</w:t>
      </w:r>
      <w:r w:rsidR="00F7203E">
        <w:rPr>
          <w:rFonts w:hint="cs"/>
          <w:rtl/>
        </w:rPr>
        <w:t>ك</w:t>
      </w:r>
      <w:r>
        <w:rPr>
          <w:rtl/>
        </w:rPr>
        <w:t>ليزية أو الإسبانية أو الفرنسية</w:t>
      </w:r>
      <w:r w:rsidR="00BE295E">
        <w:rPr>
          <w:rtl/>
        </w:rPr>
        <w:t>،</w:t>
      </w:r>
      <w:r>
        <w:rPr>
          <w:rtl/>
        </w:rPr>
        <w:t xml:space="preserve"> إن أمكن. </w:t>
      </w:r>
      <w:r w:rsidR="00F7203E">
        <w:rPr>
          <w:rFonts w:hint="cs"/>
          <w:rtl/>
        </w:rPr>
        <w:t>و</w:t>
      </w:r>
      <w:r>
        <w:rPr>
          <w:rtl/>
        </w:rPr>
        <w:t xml:space="preserve">سيستمر استخدام </w:t>
      </w:r>
      <w:r w:rsidR="00F7203E">
        <w:rPr>
          <w:rFonts w:hint="cs"/>
          <w:rtl/>
        </w:rPr>
        <w:t>منصة</w:t>
      </w:r>
      <w:r>
        <w:rPr>
          <w:rtl/>
        </w:rPr>
        <w:t xml:space="preserve"> الويكي</w:t>
      </w:r>
      <w:r w:rsidR="00F7203E">
        <w:rPr>
          <w:rFonts w:hint="cs"/>
          <w:rtl/>
        </w:rPr>
        <w:t xml:space="preserve"> الخاصة بتلك التقارير</w:t>
      </w:r>
      <w:r>
        <w:rPr>
          <w:rtl/>
        </w:rPr>
        <w:t xml:space="preserve"> </w:t>
      </w:r>
      <w:r w:rsidR="00F7203E">
        <w:rPr>
          <w:rFonts w:hint="cs"/>
          <w:rtl/>
        </w:rPr>
        <w:t xml:space="preserve">وكذا استمارتها </w:t>
      </w:r>
      <w:r>
        <w:rPr>
          <w:rtl/>
        </w:rPr>
        <w:t>الحالي</w:t>
      </w:r>
      <w:r w:rsidR="00F7203E">
        <w:rPr>
          <w:rFonts w:hint="cs"/>
          <w:rtl/>
        </w:rPr>
        <w:t>ة</w:t>
      </w:r>
      <w:r w:rsidR="00BE295E">
        <w:rPr>
          <w:rtl/>
        </w:rPr>
        <w:t>،</w:t>
      </w:r>
      <w:r>
        <w:rPr>
          <w:rtl/>
        </w:rPr>
        <w:t xml:space="preserve"> ولكن </w:t>
      </w:r>
      <w:r w:rsidR="00F7203E">
        <w:rPr>
          <w:rFonts w:hint="cs"/>
          <w:rtl/>
        </w:rPr>
        <w:t>بإتاحة</w:t>
      </w:r>
      <w:r>
        <w:rPr>
          <w:rtl/>
        </w:rPr>
        <w:t xml:space="preserve"> الروابط بدلاً من النص. </w:t>
      </w:r>
      <w:r w:rsidR="00005C9A">
        <w:rPr>
          <w:rFonts w:hint="cs"/>
          <w:rtl/>
        </w:rPr>
        <w:t>و</w:t>
      </w:r>
      <w:r>
        <w:rPr>
          <w:rtl/>
        </w:rPr>
        <w:t xml:space="preserve">إذا أراد أحد المكاتب أن </w:t>
      </w:r>
      <w:r w:rsidR="00005C9A">
        <w:rPr>
          <w:rFonts w:hint="cs"/>
          <w:rtl/>
        </w:rPr>
        <w:t>تُستضاف</w:t>
      </w:r>
      <w:r>
        <w:rPr>
          <w:rtl/>
        </w:rPr>
        <w:t xml:space="preserve"> معلوماته على </w:t>
      </w:r>
      <w:r w:rsidR="00005C9A">
        <w:rPr>
          <w:rFonts w:hint="cs"/>
          <w:rtl/>
        </w:rPr>
        <w:t>ال</w:t>
      </w:r>
      <w:r>
        <w:rPr>
          <w:rtl/>
        </w:rPr>
        <w:t xml:space="preserve">موقع </w:t>
      </w:r>
      <w:r w:rsidR="006C113F">
        <w:rPr>
          <w:rFonts w:hint="cs"/>
          <w:rtl/>
        </w:rPr>
        <w:t>ا</w:t>
      </w:r>
      <w:r w:rsidR="00005C9A">
        <w:rPr>
          <w:rFonts w:hint="cs"/>
          <w:rtl/>
        </w:rPr>
        <w:t>لإلكتروني ل</w:t>
      </w:r>
      <w:r>
        <w:rPr>
          <w:rtl/>
        </w:rPr>
        <w:t>لويبو بدلاً من موقعه الخاص</w:t>
      </w:r>
      <w:r w:rsidR="00BE295E">
        <w:rPr>
          <w:rtl/>
        </w:rPr>
        <w:t>،</w:t>
      </w:r>
      <w:r>
        <w:rPr>
          <w:rtl/>
        </w:rPr>
        <w:t xml:space="preserve"> فيمكنه </w:t>
      </w:r>
      <w:r w:rsidR="00156915">
        <w:rPr>
          <w:rFonts w:hint="cs"/>
          <w:rtl/>
        </w:rPr>
        <w:t>إتاحة</w:t>
      </w:r>
      <w:r>
        <w:rPr>
          <w:rtl/>
        </w:rPr>
        <w:t xml:space="preserve"> النص باللغة الإن</w:t>
      </w:r>
      <w:r w:rsidR="00156915">
        <w:rPr>
          <w:rFonts w:hint="cs"/>
          <w:rtl/>
        </w:rPr>
        <w:t>ك</w:t>
      </w:r>
      <w:r>
        <w:rPr>
          <w:rtl/>
        </w:rPr>
        <w:t>ليزية أو الإسبانية أو الفرنسية بدلاً من الروابط.</w:t>
      </w:r>
    </w:p>
    <w:p w14:paraId="10613801" w14:textId="77777777" w:rsidR="00445486" w:rsidRDefault="00445486" w:rsidP="00445486">
      <w:pPr>
        <w:pStyle w:val="ONUMA"/>
        <w:numPr>
          <w:ilvl w:val="0"/>
          <w:numId w:val="0"/>
        </w:numPr>
        <w:rPr>
          <w:i/>
          <w:iCs/>
        </w:rPr>
      </w:pPr>
    </w:p>
    <w:p w14:paraId="23E6A493" w14:textId="3F3C57D7" w:rsidR="004F57F4" w:rsidRPr="009D1FDC" w:rsidRDefault="004F57F4" w:rsidP="005508A8">
      <w:pPr>
        <w:pStyle w:val="ONUMA"/>
        <w:ind w:left="6025" w:hanging="540"/>
        <w:rPr>
          <w:i/>
          <w:iCs/>
        </w:rPr>
      </w:pPr>
      <w:r w:rsidRPr="009D1FDC">
        <w:rPr>
          <w:rFonts w:hint="cs"/>
          <w:i/>
          <w:iCs/>
          <w:rtl/>
        </w:rPr>
        <w:t>إن لجنة المعايير مدعوة إلى ما يلي:</w:t>
      </w:r>
    </w:p>
    <w:p w14:paraId="62446B20" w14:textId="19FD20B5" w:rsidR="005508A8" w:rsidRPr="009D1FDC" w:rsidRDefault="005508A8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9D1FDC">
        <w:rPr>
          <w:rFonts w:hint="cs"/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الإحاطة علما</w:t>
      </w:r>
      <w:r w:rsidRPr="009D1FDC">
        <w:rPr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ب</w:t>
      </w:r>
      <w:r w:rsidRPr="009D1FDC">
        <w:rPr>
          <w:i/>
          <w:iCs/>
          <w:rtl/>
        </w:rPr>
        <w:t xml:space="preserve">محتوى هذه الوثيقة؛ </w:t>
      </w:r>
    </w:p>
    <w:p w14:paraId="0CCF50A5" w14:textId="4E778314" w:rsidR="00641726" w:rsidRPr="00641726" w:rsidRDefault="00641726" w:rsidP="00641726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641726">
        <w:rPr>
          <w:i/>
          <w:iCs/>
          <w:rtl/>
        </w:rPr>
        <w:t>النظر في اعتماد الاقتراح 1 أو الاقتراح 2 في الفقرة 24 أعلا</w:t>
      </w:r>
      <w:r>
        <w:rPr>
          <w:rFonts w:hint="cs"/>
          <w:i/>
          <w:iCs/>
          <w:rtl/>
        </w:rPr>
        <w:t xml:space="preserve">ه </w:t>
      </w:r>
      <w:r w:rsidRPr="00641726">
        <w:rPr>
          <w:i/>
          <w:iCs/>
          <w:rtl/>
        </w:rPr>
        <w:t xml:space="preserve">والبت </w:t>
      </w:r>
      <w:r>
        <w:rPr>
          <w:rFonts w:hint="cs"/>
          <w:i/>
          <w:iCs/>
          <w:rtl/>
        </w:rPr>
        <w:t>في ذلك</w:t>
      </w:r>
      <w:r w:rsidRPr="00641726">
        <w:rPr>
          <w:i/>
          <w:iCs/>
          <w:rtl/>
        </w:rPr>
        <w:t xml:space="preserve">؛ </w:t>
      </w:r>
    </w:p>
    <w:p w14:paraId="12C577DA" w14:textId="29C7C1A9" w:rsidR="00C43F6C" w:rsidRPr="009D1FDC" w:rsidRDefault="00685559" w:rsidP="00641726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  <w:rtl/>
        </w:rPr>
      </w:pPr>
      <w:r>
        <w:rPr>
          <w:rFonts w:hint="cs"/>
          <w:i/>
          <w:iCs/>
          <w:rtl/>
        </w:rPr>
        <w:t>و</w:t>
      </w:r>
      <w:r w:rsidRPr="00641726">
        <w:rPr>
          <w:rFonts w:hint="cs"/>
          <w:i/>
          <w:iCs/>
          <w:rtl/>
        </w:rPr>
        <w:t>إذا</w:t>
      </w:r>
      <w:r w:rsidR="00641726" w:rsidRPr="00641726">
        <w:rPr>
          <w:i/>
          <w:iCs/>
          <w:rtl/>
        </w:rPr>
        <w:t xml:space="preserve"> تقرر </w:t>
      </w:r>
      <w:r w:rsidR="005202DD">
        <w:rPr>
          <w:rFonts w:hint="cs"/>
          <w:i/>
          <w:iCs/>
          <w:rtl/>
        </w:rPr>
        <w:t>التوقف عن إعداد التقارير التقنية السنوية</w:t>
      </w:r>
      <w:r w:rsidR="00641726" w:rsidRPr="00641726">
        <w:rPr>
          <w:i/>
          <w:iCs/>
          <w:rtl/>
        </w:rPr>
        <w:t xml:space="preserve">، </w:t>
      </w:r>
      <w:r w:rsidR="00D83FA7">
        <w:rPr>
          <w:rFonts w:hint="cs"/>
          <w:i/>
          <w:iCs/>
          <w:rtl/>
        </w:rPr>
        <w:t>البت في مسألة</w:t>
      </w:r>
      <w:r w:rsidR="00641726" w:rsidRPr="00641726">
        <w:rPr>
          <w:i/>
          <w:iCs/>
          <w:rtl/>
        </w:rPr>
        <w:t xml:space="preserve"> اعتبار المهمة رقم 24 مكتملة وإزالتها من برنامج عمل </w:t>
      </w:r>
      <w:r w:rsidR="00D83FA7">
        <w:rPr>
          <w:rFonts w:hint="cs"/>
          <w:i/>
          <w:iCs/>
          <w:rtl/>
        </w:rPr>
        <w:t>لجنة المعايير بناء على ذلك</w:t>
      </w:r>
      <w:r w:rsidR="00641726" w:rsidRPr="00641726">
        <w:rPr>
          <w:i/>
          <w:iCs/>
          <w:rtl/>
        </w:rPr>
        <w:t>.</w:t>
      </w:r>
    </w:p>
    <w:p w14:paraId="10438951" w14:textId="77777777"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14:paraId="09F7AA97" w14:textId="57987A36" w:rsidR="00360601" w:rsidRPr="00425C84" w:rsidRDefault="00206593" w:rsidP="0084266B">
      <w:pPr>
        <w:pStyle w:val="Endofdocument-Annex"/>
        <w:rPr>
          <w:lang w:eastAsia="en-US"/>
        </w:r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84266B">
        <w:rPr>
          <w:rFonts w:hint="cs"/>
          <w:rtl/>
          <w:lang w:eastAsia="en-US"/>
        </w:rPr>
        <w:t>نهاية الوثيقة</w:t>
      </w:r>
      <w:r w:rsidR="007969D1" w:rsidRPr="007969D1">
        <w:rPr>
          <w:rtl/>
          <w:lang w:eastAsia="en-US"/>
        </w:rPr>
        <w:t>]</w:t>
      </w:r>
    </w:p>
    <w:p w14:paraId="057D7CA8" w14:textId="755031D6" w:rsidR="007969D1" w:rsidRPr="00425C84" w:rsidRDefault="007969D1" w:rsidP="00425C84">
      <w:pPr>
        <w:pStyle w:val="Endofdocument-Annex"/>
        <w:rPr>
          <w:rtl/>
          <w:lang w:eastAsia="en-US"/>
        </w:rPr>
      </w:pPr>
    </w:p>
    <w:sectPr w:rsidR="007969D1" w:rsidRPr="00425C84" w:rsidSect="00CC3E2D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A668" w14:textId="77777777" w:rsidR="002E1D1A" w:rsidRDefault="002E1D1A">
      <w:r>
        <w:separator/>
      </w:r>
    </w:p>
  </w:endnote>
  <w:endnote w:type="continuationSeparator" w:id="0">
    <w:p w14:paraId="46380981" w14:textId="77777777" w:rsidR="002E1D1A" w:rsidRDefault="002E1D1A" w:rsidP="003B38C1">
      <w:r>
        <w:separator/>
      </w:r>
    </w:p>
    <w:p w14:paraId="6ED1647D" w14:textId="77777777" w:rsidR="002E1D1A" w:rsidRPr="003B38C1" w:rsidRDefault="002E1D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2A5178" w14:textId="77777777" w:rsidR="002E1D1A" w:rsidRPr="003B38C1" w:rsidRDefault="002E1D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A28E" w14:textId="77777777" w:rsidR="002E1D1A" w:rsidRDefault="002E1D1A">
      <w:r>
        <w:separator/>
      </w:r>
    </w:p>
  </w:footnote>
  <w:footnote w:type="continuationSeparator" w:id="0">
    <w:p w14:paraId="4EB1EB6C" w14:textId="77777777" w:rsidR="002E1D1A" w:rsidRDefault="002E1D1A" w:rsidP="008B60B2">
      <w:r>
        <w:separator/>
      </w:r>
    </w:p>
    <w:p w14:paraId="1AA16D65" w14:textId="77777777" w:rsidR="002E1D1A" w:rsidRPr="00ED77FB" w:rsidRDefault="002E1D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19A908" w14:textId="77777777" w:rsidR="002E1D1A" w:rsidRPr="00ED77FB" w:rsidRDefault="002E1D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F4A7" w14:textId="3565A77B" w:rsidR="00155952" w:rsidRPr="00E804AB" w:rsidRDefault="00155952" w:rsidP="00155952">
    <w:pPr>
      <w:bidi w:val="0"/>
      <w:rPr>
        <w:rFonts w:cs="Arial"/>
        <w:caps/>
        <w:szCs w:val="20"/>
        <w:rtl/>
        <w:lang w:val="fr-FR" w:bidi="ar-EG"/>
      </w:rPr>
    </w:pPr>
    <w:r w:rsidRPr="00360601">
      <w:rPr>
        <w:rFonts w:cs="Arial"/>
        <w:caps/>
        <w:szCs w:val="20"/>
      </w:rPr>
      <w:t>CWS/9/</w:t>
    </w:r>
    <w:r w:rsidR="00730976">
      <w:rPr>
        <w:rFonts w:cs="Arial"/>
        <w:caps/>
        <w:szCs w:val="20"/>
      </w:rPr>
      <w:t>18</w:t>
    </w:r>
  </w:p>
  <w:p w14:paraId="18D88363" w14:textId="4D35C55B" w:rsidR="00155952" w:rsidRPr="00360601" w:rsidRDefault="00155952" w:rsidP="00155952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A8392E">
      <w:rPr>
        <w:rFonts w:cs="Arial"/>
        <w:noProof/>
        <w:szCs w:val="20"/>
      </w:rPr>
      <w:t>6</w:t>
    </w:r>
    <w:r w:rsidRPr="00360601">
      <w:rPr>
        <w:rFonts w:cs="Arial"/>
        <w:szCs w:val="20"/>
      </w:rPr>
      <w:fldChar w:fldCharType="end"/>
    </w:r>
  </w:p>
  <w:p w14:paraId="114FCE8B" w14:textId="453522D7" w:rsidR="00155952" w:rsidRDefault="00155952" w:rsidP="00155952">
    <w:pPr>
      <w:pStyle w:val="Header"/>
      <w:jc w:val="right"/>
      <w:rPr>
        <w:rtl/>
      </w:rPr>
    </w:pPr>
  </w:p>
  <w:p w14:paraId="22865C96" w14:textId="77777777" w:rsidR="00155952" w:rsidRDefault="00155952" w:rsidP="001559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8D14" w14:textId="77777777" w:rsidR="00E804AB" w:rsidRDefault="00E804AB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63DDA"/>
    <w:multiLevelType w:val="hybridMultilevel"/>
    <w:tmpl w:val="32684460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93DDD"/>
    <w:multiLevelType w:val="hybridMultilevel"/>
    <w:tmpl w:val="333E3124"/>
    <w:lvl w:ilvl="0" w:tplc="CB9CA206">
      <w:numFmt w:val="bullet"/>
      <w:lvlText w:val="_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84EA0"/>
    <w:multiLevelType w:val="hybridMultilevel"/>
    <w:tmpl w:val="1E6C88DE"/>
    <w:lvl w:ilvl="0" w:tplc="183AD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D64410"/>
    <w:multiLevelType w:val="hybridMultilevel"/>
    <w:tmpl w:val="7520E4A0"/>
    <w:lvl w:ilvl="0" w:tplc="8580E61E">
      <w:start w:val="1"/>
      <w:numFmt w:val="arabicAbjad"/>
      <w:lvlText w:val="(%1)"/>
      <w:lvlJc w:val="left"/>
      <w:pPr>
        <w:ind w:left="752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7911"/>
    <w:multiLevelType w:val="hybridMultilevel"/>
    <w:tmpl w:val="AA5ADAB0"/>
    <w:lvl w:ilvl="0" w:tplc="1A940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9"/>
  </w:num>
  <w:num w:numId="5">
    <w:abstractNumId w:val="2"/>
  </w:num>
  <w:num w:numId="6">
    <w:abstractNumId w:val="8"/>
  </w:num>
  <w:num w:numId="7">
    <w:abstractNumId w:val="22"/>
  </w:num>
  <w:num w:numId="8">
    <w:abstractNumId w:val="11"/>
  </w:num>
  <w:num w:numId="9">
    <w:abstractNumId w:val="12"/>
  </w:num>
  <w:num w:numId="10">
    <w:abstractNumId w:val="17"/>
  </w:num>
  <w:num w:numId="11">
    <w:abstractNumId w:val="21"/>
  </w:num>
  <w:num w:numId="12">
    <w:abstractNumId w:val="18"/>
  </w:num>
  <w:num w:numId="13">
    <w:abstractNumId w:val="23"/>
  </w:num>
  <w:num w:numId="14">
    <w:abstractNumId w:val="6"/>
  </w:num>
  <w:num w:numId="15">
    <w:abstractNumId w:val="10"/>
  </w:num>
  <w:num w:numId="16">
    <w:abstractNumId w:val="3"/>
  </w:num>
  <w:num w:numId="17">
    <w:abstractNumId w:val="13"/>
  </w:num>
  <w:num w:numId="18">
    <w:abstractNumId w:val="20"/>
  </w:num>
  <w:num w:numId="19">
    <w:abstractNumId w:val="7"/>
  </w:num>
  <w:num w:numId="20">
    <w:abstractNumId w:val="24"/>
  </w:num>
  <w:num w:numId="21">
    <w:abstractNumId w:val="9"/>
  </w:num>
  <w:num w:numId="22">
    <w:abstractNumId w:val="26"/>
  </w:num>
  <w:num w:numId="23">
    <w:abstractNumId w:val="16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4"/>
  </w:num>
  <w:num w:numId="30">
    <w:abstractNumId w:val="14"/>
  </w:num>
  <w:num w:numId="31">
    <w:abstractNumId w:val="1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5"/>
  </w:num>
  <w:num w:numId="39">
    <w:abstractNumId w:val="22"/>
  </w:num>
  <w:num w:numId="40">
    <w:abstractNumId w:val="2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05C9A"/>
    <w:rsid w:val="000070C8"/>
    <w:rsid w:val="00016BDB"/>
    <w:rsid w:val="00020B97"/>
    <w:rsid w:val="00021B01"/>
    <w:rsid w:val="00035A24"/>
    <w:rsid w:val="00043CAA"/>
    <w:rsid w:val="00044113"/>
    <w:rsid w:val="00056816"/>
    <w:rsid w:val="00063B87"/>
    <w:rsid w:val="00065834"/>
    <w:rsid w:val="00070761"/>
    <w:rsid w:val="00071E69"/>
    <w:rsid w:val="00071F21"/>
    <w:rsid w:val="00075432"/>
    <w:rsid w:val="00086230"/>
    <w:rsid w:val="000910E5"/>
    <w:rsid w:val="000968ED"/>
    <w:rsid w:val="000A3385"/>
    <w:rsid w:val="000A3D97"/>
    <w:rsid w:val="000A67D0"/>
    <w:rsid w:val="000B07F5"/>
    <w:rsid w:val="000B2799"/>
    <w:rsid w:val="000B2A4E"/>
    <w:rsid w:val="000B5B36"/>
    <w:rsid w:val="000C27A1"/>
    <w:rsid w:val="000C28F3"/>
    <w:rsid w:val="000C3B24"/>
    <w:rsid w:val="000D3DAB"/>
    <w:rsid w:val="000E52DA"/>
    <w:rsid w:val="000F5E56"/>
    <w:rsid w:val="00114F7B"/>
    <w:rsid w:val="00122D17"/>
    <w:rsid w:val="001344B3"/>
    <w:rsid w:val="001362EE"/>
    <w:rsid w:val="001406E1"/>
    <w:rsid w:val="00140F22"/>
    <w:rsid w:val="00145007"/>
    <w:rsid w:val="00155952"/>
    <w:rsid w:val="00155D8A"/>
    <w:rsid w:val="00156915"/>
    <w:rsid w:val="001647D5"/>
    <w:rsid w:val="00166C69"/>
    <w:rsid w:val="00167832"/>
    <w:rsid w:val="00170361"/>
    <w:rsid w:val="001832A6"/>
    <w:rsid w:val="00187D7E"/>
    <w:rsid w:val="00191076"/>
    <w:rsid w:val="00192159"/>
    <w:rsid w:val="0019592A"/>
    <w:rsid w:val="00195B0E"/>
    <w:rsid w:val="001B4A46"/>
    <w:rsid w:val="001C20CE"/>
    <w:rsid w:val="001C2B68"/>
    <w:rsid w:val="001C513D"/>
    <w:rsid w:val="001D4107"/>
    <w:rsid w:val="001E6ABF"/>
    <w:rsid w:val="002027EB"/>
    <w:rsid w:val="00203D24"/>
    <w:rsid w:val="0020439E"/>
    <w:rsid w:val="00206593"/>
    <w:rsid w:val="00207E3F"/>
    <w:rsid w:val="00210D5F"/>
    <w:rsid w:val="002112DB"/>
    <w:rsid w:val="0021217E"/>
    <w:rsid w:val="002266E1"/>
    <w:rsid w:val="002326AB"/>
    <w:rsid w:val="00243430"/>
    <w:rsid w:val="00250149"/>
    <w:rsid w:val="00262607"/>
    <w:rsid w:val="002634C4"/>
    <w:rsid w:val="00265354"/>
    <w:rsid w:val="00273483"/>
    <w:rsid w:val="0028335C"/>
    <w:rsid w:val="002928D3"/>
    <w:rsid w:val="002A7B3A"/>
    <w:rsid w:val="002C00A3"/>
    <w:rsid w:val="002D4484"/>
    <w:rsid w:val="002D450E"/>
    <w:rsid w:val="002E1D1A"/>
    <w:rsid w:val="002F1FE6"/>
    <w:rsid w:val="002F4E68"/>
    <w:rsid w:val="00303282"/>
    <w:rsid w:val="00304850"/>
    <w:rsid w:val="00312F7F"/>
    <w:rsid w:val="00321316"/>
    <w:rsid w:val="00321EB3"/>
    <w:rsid w:val="00324B26"/>
    <w:rsid w:val="00327E12"/>
    <w:rsid w:val="00333351"/>
    <w:rsid w:val="00334991"/>
    <w:rsid w:val="00344554"/>
    <w:rsid w:val="003452A8"/>
    <w:rsid w:val="00360601"/>
    <w:rsid w:val="00361450"/>
    <w:rsid w:val="003673CF"/>
    <w:rsid w:val="00372195"/>
    <w:rsid w:val="003845C1"/>
    <w:rsid w:val="00390119"/>
    <w:rsid w:val="00393538"/>
    <w:rsid w:val="003A219A"/>
    <w:rsid w:val="003A6F89"/>
    <w:rsid w:val="003B355C"/>
    <w:rsid w:val="003B3581"/>
    <w:rsid w:val="003B38C1"/>
    <w:rsid w:val="003C34E9"/>
    <w:rsid w:val="003C43BF"/>
    <w:rsid w:val="003D3463"/>
    <w:rsid w:val="003D455F"/>
    <w:rsid w:val="003D5315"/>
    <w:rsid w:val="003D7B03"/>
    <w:rsid w:val="003E4CF2"/>
    <w:rsid w:val="003E520C"/>
    <w:rsid w:val="003F20F4"/>
    <w:rsid w:val="004070A0"/>
    <w:rsid w:val="00414F5E"/>
    <w:rsid w:val="00423CB2"/>
    <w:rsid w:val="00423E3E"/>
    <w:rsid w:val="004252CB"/>
    <w:rsid w:val="00425C84"/>
    <w:rsid w:val="00427AF4"/>
    <w:rsid w:val="00435E3E"/>
    <w:rsid w:val="00436F2D"/>
    <w:rsid w:val="004434C3"/>
    <w:rsid w:val="00444A53"/>
    <w:rsid w:val="00445486"/>
    <w:rsid w:val="00447765"/>
    <w:rsid w:val="0045246E"/>
    <w:rsid w:val="00452F85"/>
    <w:rsid w:val="00461B51"/>
    <w:rsid w:val="004647DA"/>
    <w:rsid w:val="00472EF6"/>
    <w:rsid w:val="00474062"/>
    <w:rsid w:val="00476DAE"/>
    <w:rsid w:val="00477D6B"/>
    <w:rsid w:val="0048522D"/>
    <w:rsid w:val="00496AB4"/>
    <w:rsid w:val="004A293D"/>
    <w:rsid w:val="004D29A8"/>
    <w:rsid w:val="004D63CB"/>
    <w:rsid w:val="004D64E1"/>
    <w:rsid w:val="004E7145"/>
    <w:rsid w:val="004F2DE7"/>
    <w:rsid w:val="004F57F4"/>
    <w:rsid w:val="005019FF"/>
    <w:rsid w:val="0050470A"/>
    <w:rsid w:val="005153F3"/>
    <w:rsid w:val="005202DD"/>
    <w:rsid w:val="00523F0D"/>
    <w:rsid w:val="0053057A"/>
    <w:rsid w:val="0053240B"/>
    <w:rsid w:val="00543B46"/>
    <w:rsid w:val="005508A8"/>
    <w:rsid w:val="00556076"/>
    <w:rsid w:val="00560A29"/>
    <w:rsid w:val="00565DBE"/>
    <w:rsid w:val="005740C5"/>
    <w:rsid w:val="00576BB6"/>
    <w:rsid w:val="00584829"/>
    <w:rsid w:val="00592CDF"/>
    <w:rsid w:val="0059409E"/>
    <w:rsid w:val="005A2C07"/>
    <w:rsid w:val="005B2C79"/>
    <w:rsid w:val="005B453D"/>
    <w:rsid w:val="005C0B3B"/>
    <w:rsid w:val="005C6649"/>
    <w:rsid w:val="005E721B"/>
    <w:rsid w:val="005E723C"/>
    <w:rsid w:val="005E7B89"/>
    <w:rsid w:val="005F0828"/>
    <w:rsid w:val="00600D30"/>
    <w:rsid w:val="00600E7F"/>
    <w:rsid w:val="00605827"/>
    <w:rsid w:val="006216FA"/>
    <w:rsid w:val="00641726"/>
    <w:rsid w:val="00646050"/>
    <w:rsid w:val="00650C02"/>
    <w:rsid w:val="006704E2"/>
    <w:rsid w:val="006713CA"/>
    <w:rsid w:val="00671D94"/>
    <w:rsid w:val="00672489"/>
    <w:rsid w:val="00672685"/>
    <w:rsid w:val="00672C45"/>
    <w:rsid w:val="006763B8"/>
    <w:rsid w:val="00676C5C"/>
    <w:rsid w:val="00682393"/>
    <w:rsid w:val="00685559"/>
    <w:rsid w:val="0069026A"/>
    <w:rsid w:val="006A5AAB"/>
    <w:rsid w:val="006B11BA"/>
    <w:rsid w:val="006B5C12"/>
    <w:rsid w:val="006B61BF"/>
    <w:rsid w:val="006C113F"/>
    <w:rsid w:val="006D03D2"/>
    <w:rsid w:val="006D27D2"/>
    <w:rsid w:val="006D309E"/>
    <w:rsid w:val="006D4F94"/>
    <w:rsid w:val="006D578E"/>
    <w:rsid w:val="006D6C50"/>
    <w:rsid w:val="006D7AAB"/>
    <w:rsid w:val="006D7C7A"/>
    <w:rsid w:val="006E1C7A"/>
    <w:rsid w:val="006E2D95"/>
    <w:rsid w:val="006F641A"/>
    <w:rsid w:val="00707BB4"/>
    <w:rsid w:val="00710A03"/>
    <w:rsid w:val="007161B4"/>
    <w:rsid w:val="00720EFD"/>
    <w:rsid w:val="00730976"/>
    <w:rsid w:val="00731F15"/>
    <w:rsid w:val="00747A77"/>
    <w:rsid w:val="00750C1A"/>
    <w:rsid w:val="007541BE"/>
    <w:rsid w:val="00757896"/>
    <w:rsid w:val="00777548"/>
    <w:rsid w:val="007854AF"/>
    <w:rsid w:val="0079149A"/>
    <w:rsid w:val="00793A7C"/>
    <w:rsid w:val="007969D1"/>
    <w:rsid w:val="007A398A"/>
    <w:rsid w:val="007C2853"/>
    <w:rsid w:val="007C4902"/>
    <w:rsid w:val="007D1613"/>
    <w:rsid w:val="007D1A8B"/>
    <w:rsid w:val="007E4889"/>
    <w:rsid w:val="007E4C0E"/>
    <w:rsid w:val="007F2C24"/>
    <w:rsid w:val="008243C0"/>
    <w:rsid w:val="00825DE5"/>
    <w:rsid w:val="0084266B"/>
    <w:rsid w:val="00843FC7"/>
    <w:rsid w:val="00845572"/>
    <w:rsid w:val="008629F3"/>
    <w:rsid w:val="0087452D"/>
    <w:rsid w:val="008A0924"/>
    <w:rsid w:val="008A134B"/>
    <w:rsid w:val="008A7C37"/>
    <w:rsid w:val="008B1E0F"/>
    <w:rsid w:val="008B2CC1"/>
    <w:rsid w:val="008B60B2"/>
    <w:rsid w:val="008C2C3E"/>
    <w:rsid w:val="008D1BBF"/>
    <w:rsid w:val="008D2F68"/>
    <w:rsid w:val="009051CA"/>
    <w:rsid w:val="0090731E"/>
    <w:rsid w:val="0091145F"/>
    <w:rsid w:val="00916EE2"/>
    <w:rsid w:val="00923565"/>
    <w:rsid w:val="00926F77"/>
    <w:rsid w:val="00930A31"/>
    <w:rsid w:val="0093527D"/>
    <w:rsid w:val="00941D48"/>
    <w:rsid w:val="0094554E"/>
    <w:rsid w:val="00947238"/>
    <w:rsid w:val="00966A22"/>
    <w:rsid w:val="0096722F"/>
    <w:rsid w:val="00980843"/>
    <w:rsid w:val="0099406E"/>
    <w:rsid w:val="009B0855"/>
    <w:rsid w:val="009B48A1"/>
    <w:rsid w:val="009C0DD5"/>
    <w:rsid w:val="009D1FDC"/>
    <w:rsid w:val="009D2E78"/>
    <w:rsid w:val="009D3072"/>
    <w:rsid w:val="009D3A30"/>
    <w:rsid w:val="009E1721"/>
    <w:rsid w:val="009E2791"/>
    <w:rsid w:val="009E3F6F"/>
    <w:rsid w:val="009E4439"/>
    <w:rsid w:val="009F499F"/>
    <w:rsid w:val="00A00332"/>
    <w:rsid w:val="00A13497"/>
    <w:rsid w:val="00A2747B"/>
    <w:rsid w:val="00A33241"/>
    <w:rsid w:val="00A33988"/>
    <w:rsid w:val="00A3481F"/>
    <w:rsid w:val="00A37342"/>
    <w:rsid w:val="00A41FCF"/>
    <w:rsid w:val="00A42DAF"/>
    <w:rsid w:val="00A45BD8"/>
    <w:rsid w:val="00A474F0"/>
    <w:rsid w:val="00A7527A"/>
    <w:rsid w:val="00A76306"/>
    <w:rsid w:val="00A778CB"/>
    <w:rsid w:val="00A8392E"/>
    <w:rsid w:val="00A869B7"/>
    <w:rsid w:val="00A90F0A"/>
    <w:rsid w:val="00AA29A3"/>
    <w:rsid w:val="00AB4DB6"/>
    <w:rsid w:val="00AC205C"/>
    <w:rsid w:val="00AD2BC9"/>
    <w:rsid w:val="00AD30FC"/>
    <w:rsid w:val="00AE1EC1"/>
    <w:rsid w:val="00AF0A6B"/>
    <w:rsid w:val="00AF4F00"/>
    <w:rsid w:val="00B05A69"/>
    <w:rsid w:val="00B21286"/>
    <w:rsid w:val="00B331D8"/>
    <w:rsid w:val="00B42CA9"/>
    <w:rsid w:val="00B51FF7"/>
    <w:rsid w:val="00B5767A"/>
    <w:rsid w:val="00B75281"/>
    <w:rsid w:val="00B754E1"/>
    <w:rsid w:val="00B803F5"/>
    <w:rsid w:val="00B831AA"/>
    <w:rsid w:val="00B90992"/>
    <w:rsid w:val="00B92F1F"/>
    <w:rsid w:val="00B9734B"/>
    <w:rsid w:val="00BA2F59"/>
    <w:rsid w:val="00BA30E2"/>
    <w:rsid w:val="00BA3963"/>
    <w:rsid w:val="00BB571E"/>
    <w:rsid w:val="00BB781F"/>
    <w:rsid w:val="00BC3832"/>
    <w:rsid w:val="00BC3EAF"/>
    <w:rsid w:val="00BC6536"/>
    <w:rsid w:val="00BD2EC9"/>
    <w:rsid w:val="00BE295E"/>
    <w:rsid w:val="00BE559E"/>
    <w:rsid w:val="00BE735D"/>
    <w:rsid w:val="00C0013E"/>
    <w:rsid w:val="00C02F04"/>
    <w:rsid w:val="00C11BFE"/>
    <w:rsid w:val="00C137F3"/>
    <w:rsid w:val="00C2086B"/>
    <w:rsid w:val="00C32E43"/>
    <w:rsid w:val="00C3436A"/>
    <w:rsid w:val="00C43668"/>
    <w:rsid w:val="00C43F6C"/>
    <w:rsid w:val="00C5068F"/>
    <w:rsid w:val="00C511E5"/>
    <w:rsid w:val="00C73194"/>
    <w:rsid w:val="00C74BB4"/>
    <w:rsid w:val="00C86D74"/>
    <w:rsid w:val="00C91553"/>
    <w:rsid w:val="00C91838"/>
    <w:rsid w:val="00C925E7"/>
    <w:rsid w:val="00CB3DBA"/>
    <w:rsid w:val="00CC2CDF"/>
    <w:rsid w:val="00CC3E2D"/>
    <w:rsid w:val="00CD04F1"/>
    <w:rsid w:val="00CD1944"/>
    <w:rsid w:val="00CD4099"/>
    <w:rsid w:val="00CD56D7"/>
    <w:rsid w:val="00CE19F8"/>
    <w:rsid w:val="00CE7257"/>
    <w:rsid w:val="00CF5BB7"/>
    <w:rsid w:val="00CF681A"/>
    <w:rsid w:val="00D033D4"/>
    <w:rsid w:val="00D07C78"/>
    <w:rsid w:val="00D10CD1"/>
    <w:rsid w:val="00D125D8"/>
    <w:rsid w:val="00D242A7"/>
    <w:rsid w:val="00D41EE0"/>
    <w:rsid w:val="00D45252"/>
    <w:rsid w:val="00D474E6"/>
    <w:rsid w:val="00D50A16"/>
    <w:rsid w:val="00D512F3"/>
    <w:rsid w:val="00D60B2C"/>
    <w:rsid w:val="00D62282"/>
    <w:rsid w:val="00D635F0"/>
    <w:rsid w:val="00D67EAE"/>
    <w:rsid w:val="00D71B4D"/>
    <w:rsid w:val="00D7681B"/>
    <w:rsid w:val="00D83FA7"/>
    <w:rsid w:val="00D85882"/>
    <w:rsid w:val="00D90B96"/>
    <w:rsid w:val="00D93D55"/>
    <w:rsid w:val="00D949DD"/>
    <w:rsid w:val="00D95C3F"/>
    <w:rsid w:val="00DA1831"/>
    <w:rsid w:val="00DA4C40"/>
    <w:rsid w:val="00DC0F46"/>
    <w:rsid w:val="00DC17E3"/>
    <w:rsid w:val="00DC3945"/>
    <w:rsid w:val="00DD65C8"/>
    <w:rsid w:val="00DD742D"/>
    <w:rsid w:val="00DD7B7F"/>
    <w:rsid w:val="00DE56AF"/>
    <w:rsid w:val="00DE76B4"/>
    <w:rsid w:val="00DF09C9"/>
    <w:rsid w:val="00DF7A4B"/>
    <w:rsid w:val="00E13090"/>
    <w:rsid w:val="00E15015"/>
    <w:rsid w:val="00E15D73"/>
    <w:rsid w:val="00E16C61"/>
    <w:rsid w:val="00E17738"/>
    <w:rsid w:val="00E3169B"/>
    <w:rsid w:val="00E319DF"/>
    <w:rsid w:val="00E335FE"/>
    <w:rsid w:val="00E34683"/>
    <w:rsid w:val="00E402BB"/>
    <w:rsid w:val="00E53AC9"/>
    <w:rsid w:val="00E63AB8"/>
    <w:rsid w:val="00E655A0"/>
    <w:rsid w:val="00E66CC5"/>
    <w:rsid w:val="00E804AB"/>
    <w:rsid w:val="00EA2B00"/>
    <w:rsid w:val="00EA7D6E"/>
    <w:rsid w:val="00EB2F76"/>
    <w:rsid w:val="00EC2B42"/>
    <w:rsid w:val="00EC4E49"/>
    <w:rsid w:val="00ED01FF"/>
    <w:rsid w:val="00ED6EB7"/>
    <w:rsid w:val="00ED77FB"/>
    <w:rsid w:val="00EE307E"/>
    <w:rsid w:val="00EE3485"/>
    <w:rsid w:val="00EE45FA"/>
    <w:rsid w:val="00EE6229"/>
    <w:rsid w:val="00EF1011"/>
    <w:rsid w:val="00F043DE"/>
    <w:rsid w:val="00F10917"/>
    <w:rsid w:val="00F10E7C"/>
    <w:rsid w:val="00F131E4"/>
    <w:rsid w:val="00F16A5A"/>
    <w:rsid w:val="00F248CE"/>
    <w:rsid w:val="00F336A8"/>
    <w:rsid w:val="00F6004C"/>
    <w:rsid w:val="00F64750"/>
    <w:rsid w:val="00F66152"/>
    <w:rsid w:val="00F7203E"/>
    <w:rsid w:val="00F76CB4"/>
    <w:rsid w:val="00F779D8"/>
    <w:rsid w:val="00F80C98"/>
    <w:rsid w:val="00F90C07"/>
    <w:rsid w:val="00F9165B"/>
    <w:rsid w:val="00FA17DA"/>
    <w:rsid w:val="00FA308C"/>
    <w:rsid w:val="00FA44A9"/>
    <w:rsid w:val="00FA6CAF"/>
    <w:rsid w:val="00FB108C"/>
    <w:rsid w:val="00FB6373"/>
    <w:rsid w:val="00FC438C"/>
    <w:rsid w:val="00FC482F"/>
    <w:rsid w:val="00FD0B86"/>
    <w:rsid w:val="00FD24E2"/>
    <w:rsid w:val="00FD5AF0"/>
    <w:rsid w:val="00FE0962"/>
    <w:rsid w:val="00FE0A83"/>
    <w:rsid w:val="00FE132C"/>
    <w:rsid w:val="00FE5D75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73BC5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www.wipo.int/export/sites/www/cws/es/background/circulars/circular/253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standards/en/pdf/archives/03-09-02arc2008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EG" b="1" baseline="0">
                <a:latin typeface="+mn-lt"/>
              </a:rPr>
              <a:t>التقارير حسب السنة</a:t>
            </a:r>
            <a:endParaRPr lang="en-US" b="1"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'ATR counts'!$B$3</c:f>
              <c:strCache>
                <c:ptCount val="1"/>
                <c:pt idx="0">
                  <c:v>IPOs Responding</c:v>
                </c:pt>
              </c:strCache>
            </c:strRef>
          </c:tx>
          <c:spPr>
            <a:ln w="2540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'ATR counts'!$A$4:$A$26</c:f>
              <c:numCache>
                <c:formatCode>General</c:formatCode>
                <c:ptCount val="23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</c:numCache>
            </c:numRef>
          </c:xVal>
          <c:yVal>
            <c:numRef>
              <c:f>'ATR counts'!$B$4:$B$26</c:f>
              <c:numCache>
                <c:formatCode>General</c:formatCode>
                <c:ptCount val="23"/>
                <c:pt idx="0">
                  <c:v>56</c:v>
                </c:pt>
                <c:pt idx="1">
                  <c:v>53</c:v>
                </c:pt>
                <c:pt idx="2">
                  <c:v>53</c:v>
                </c:pt>
                <c:pt idx="3">
                  <c:v>51</c:v>
                </c:pt>
                <c:pt idx="4">
                  <c:v>41</c:v>
                </c:pt>
                <c:pt idx="5">
                  <c:v>44</c:v>
                </c:pt>
                <c:pt idx="6">
                  <c:v>46</c:v>
                </c:pt>
                <c:pt idx="7">
                  <c:v>40</c:v>
                </c:pt>
                <c:pt idx="8">
                  <c:v>38</c:v>
                </c:pt>
                <c:pt idx="9">
                  <c:v>40</c:v>
                </c:pt>
                <c:pt idx="10">
                  <c:v>31</c:v>
                </c:pt>
                <c:pt idx="11">
                  <c:v>36</c:v>
                </c:pt>
                <c:pt idx="12">
                  <c:v>28</c:v>
                </c:pt>
                <c:pt idx="13">
                  <c:v>31</c:v>
                </c:pt>
                <c:pt idx="14">
                  <c:v>30</c:v>
                </c:pt>
                <c:pt idx="15">
                  <c:v>28</c:v>
                </c:pt>
                <c:pt idx="16">
                  <c:v>23</c:v>
                </c:pt>
                <c:pt idx="17">
                  <c:v>23</c:v>
                </c:pt>
                <c:pt idx="18">
                  <c:v>20</c:v>
                </c:pt>
                <c:pt idx="19">
                  <c:v>12</c:v>
                </c:pt>
                <c:pt idx="20">
                  <c:v>11</c:v>
                </c:pt>
                <c:pt idx="21">
                  <c:v>18</c:v>
                </c:pt>
                <c:pt idx="22">
                  <c:v>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A88-4B33-A1AE-9ACF54CA1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2122767"/>
        <c:axId val="1202116943"/>
      </c:scatterChart>
      <c:valAx>
        <c:axId val="120212276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200"/>
                  <a:t>سنة إصدار التقرير</a:t>
                </a: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116943"/>
        <c:crosses val="autoZero"/>
        <c:crossBetween val="midCat"/>
      </c:valAx>
      <c:valAx>
        <c:axId val="1202116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200"/>
                  <a:t>عدد مكاتب الملكية الفكرية المصدرة للتقارير</a:t>
                </a: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1227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dash"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200" b="0" i="0" u="none" strike="noStrike" baseline="0">
                <a:effectLst/>
              </a:rPr>
              <a:t>إحصاءات عام 2019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'2019'!$I$1:$M$1</c:f>
              <c:numCache>
                <c:formatCode>General</c:formatCode>
                <c:ptCount val="5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</c:numCache>
            </c:numRef>
          </c:cat>
          <c:val>
            <c:numRef>
              <c:f>'2019'!$I$2:$M$2</c:f>
              <c:numCache>
                <c:formatCode>General</c:formatCode>
                <c:ptCount val="5"/>
                <c:pt idx="0">
                  <c:v>105</c:v>
                </c:pt>
                <c:pt idx="1">
                  <c:v>176</c:v>
                </c:pt>
                <c:pt idx="2">
                  <c:v>48</c:v>
                </c:pt>
                <c:pt idx="3">
                  <c:v>25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2E-4647-B359-9BFBE1EE2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0441056"/>
        <c:axId val="1220445632"/>
      </c:barChart>
      <c:catAx>
        <c:axId val="1220441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200" b="0" i="0" baseline="0">
                    <a:effectLst/>
                  </a:rPr>
                  <a:t>سنة إصدار التقرير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0445632"/>
        <c:crosses val="autoZero"/>
        <c:auto val="1"/>
        <c:lblAlgn val="ctr"/>
        <c:lblOffset val="100"/>
        <c:noMultiLvlLbl val="0"/>
      </c:catAx>
      <c:valAx>
        <c:axId val="122044563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400"/>
                  <a:t>عدد زيارات الصفحة</a:t>
                </a:r>
                <a:endParaRPr lang="en-US" sz="14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044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EG" sz="1400"/>
              <a:t>عدد زيارات كل صفحة من صفحات التقارير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'2020'!$V$1</c:f>
              <c:strCache>
                <c:ptCount val="1"/>
                <c:pt idx="0">
                  <c:v>Unique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'2020'!$U$2:$U$159</c:f>
              <c:strCache>
                <c:ptCount val="158"/>
                <c:pt idx="0">
                  <c:v>PI 2018 JP</c:v>
                </c:pt>
                <c:pt idx="1">
                  <c:v>PI 2016 ES</c:v>
                </c:pt>
                <c:pt idx="2">
                  <c:v>ID 2015 MX</c:v>
                </c:pt>
                <c:pt idx="3">
                  <c:v>TM 2016 ES</c:v>
                </c:pt>
                <c:pt idx="4">
                  <c:v>TM 2018 UA</c:v>
                </c:pt>
                <c:pt idx="5">
                  <c:v>PI 2018 RU</c:v>
                </c:pt>
                <c:pt idx="6">
                  <c:v>ID 2016 ES</c:v>
                </c:pt>
                <c:pt idx="7">
                  <c:v>PI 2018 GB</c:v>
                </c:pt>
                <c:pt idx="8">
                  <c:v>TM 2018 EC</c:v>
                </c:pt>
                <c:pt idx="9">
                  <c:v>PI 2019 EA</c:v>
                </c:pt>
                <c:pt idx="10">
                  <c:v>PI 2018 CZ</c:v>
                </c:pt>
                <c:pt idx="11">
                  <c:v>PI 2018 EC</c:v>
                </c:pt>
                <c:pt idx="12">
                  <c:v>PI 2015 MX</c:v>
                </c:pt>
                <c:pt idx="13">
                  <c:v>ID 2018 EC</c:v>
                </c:pt>
                <c:pt idx="14">
                  <c:v>ID 2015 MD</c:v>
                </c:pt>
                <c:pt idx="15">
                  <c:v>TM 2018 PL</c:v>
                </c:pt>
                <c:pt idx="16">
                  <c:v>TM 2016 BR</c:v>
                </c:pt>
                <c:pt idx="17">
                  <c:v>PI 2016 BR</c:v>
                </c:pt>
                <c:pt idx="18">
                  <c:v>ID 2018 GB</c:v>
                </c:pt>
                <c:pt idx="19">
                  <c:v>PI 2016 GB</c:v>
                </c:pt>
                <c:pt idx="20">
                  <c:v>TM 2018 RS</c:v>
                </c:pt>
                <c:pt idx="21">
                  <c:v>PI 2018 UA</c:v>
                </c:pt>
                <c:pt idx="22">
                  <c:v>PI 2014 UY</c:v>
                </c:pt>
                <c:pt idx="23">
                  <c:v>TM 2018 SK</c:v>
                </c:pt>
                <c:pt idx="24">
                  <c:v>TM 2018 JP</c:v>
                </c:pt>
                <c:pt idx="25">
                  <c:v>PI 2018 PL</c:v>
                </c:pt>
                <c:pt idx="26">
                  <c:v>ID 2018 UA</c:v>
                </c:pt>
                <c:pt idx="27">
                  <c:v>TM 2019 UY</c:v>
                </c:pt>
                <c:pt idx="28">
                  <c:v>TM 2015 MX</c:v>
                </c:pt>
                <c:pt idx="29">
                  <c:v>ID 2018 JP</c:v>
                </c:pt>
                <c:pt idx="30">
                  <c:v>TM 2018 GB</c:v>
                </c:pt>
                <c:pt idx="31">
                  <c:v>TM 2016 RS</c:v>
                </c:pt>
                <c:pt idx="32">
                  <c:v>TM 2018 RU</c:v>
                </c:pt>
                <c:pt idx="33">
                  <c:v>ID 2018 PL</c:v>
                </c:pt>
                <c:pt idx="34">
                  <c:v>TM 2014 UY</c:v>
                </c:pt>
                <c:pt idx="35">
                  <c:v>ID 2014 UY</c:v>
                </c:pt>
                <c:pt idx="36">
                  <c:v>ID 2019 HU</c:v>
                </c:pt>
                <c:pt idx="37">
                  <c:v>ID 2018 SK</c:v>
                </c:pt>
                <c:pt idx="38">
                  <c:v>PI 2019 HU</c:v>
                </c:pt>
                <c:pt idx="39">
                  <c:v>ID 2017 SK</c:v>
                </c:pt>
                <c:pt idx="40">
                  <c:v>TM 2018 BG</c:v>
                </c:pt>
                <c:pt idx="41">
                  <c:v>TM 2016 BG</c:v>
                </c:pt>
                <c:pt idx="42">
                  <c:v>PI 2017 JP</c:v>
                </c:pt>
                <c:pt idx="43">
                  <c:v>PI 2017 CA</c:v>
                </c:pt>
                <c:pt idx="44">
                  <c:v>ID 2018 CZ</c:v>
                </c:pt>
                <c:pt idx="45">
                  <c:v>PI 2019 PL</c:v>
                </c:pt>
                <c:pt idx="46">
                  <c:v>TM 2019 MX</c:v>
                </c:pt>
                <c:pt idx="47">
                  <c:v>PI 2016 EG</c:v>
                </c:pt>
                <c:pt idx="48">
                  <c:v>PI 2017 PL</c:v>
                </c:pt>
                <c:pt idx="49">
                  <c:v>TM 2017 CA</c:v>
                </c:pt>
                <c:pt idx="50">
                  <c:v>ID 2016 BR</c:v>
                </c:pt>
                <c:pt idx="51">
                  <c:v>PI 2018 HU</c:v>
                </c:pt>
                <c:pt idx="52">
                  <c:v>ID 2019 PY</c:v>
                </c:pt>
                <c:pt idx="53">
                  <c:v>PI 2016 PL</c:v>
                </c:pt>
                <c:pt idx="54">
                  <c:v>PI 2018 RS</c:v>
                </c:pt>
                <c:pt idx="55">
                  <c:v>PI 2019 UY</c:v>
                </c:pt>
                <c:pt idx="56">
                  <c:v>ID 2018 HU</c:v>
                </c:pt>
                <c:pt idx="57">
                  <c:v>ID 2016 MG</c:v>
                </c:pt>
                <c:pt idx="58">
                  <c:v>TM 2015 MD</c:v>
                </c:pt>
                <c:pt idx="59">
                  <c:v>ID 2019 PL</c:v>
                </c:pt>
                <c:pt idx="60">
                  <c:v>PI 2018 SK</c:v>
                </c:pt>
                <c:pt idx="61">
                  <c:v>TM 2019 PL</c:v>
                </c:pt>
                <c:pt idx="62">
                  <c:v>PI 2016 RU</c:v>
                </c:pt>
                <c:pt idx="63">
                  <c:v>PI 2019 JP</c:v>
                </c:pt>
                <c:pt idx="64">
                  <c:v>TM 2019 HU</c:v>
                </c:pt>
                <c:pt idx="65">
                  <c:v>ID 2017 EC</c:v>
                </c:pt>
                <c:pt idx="66">
                  <c:v>PI 2015 HR</c:v>
                </c:pt>
                <c:pt idx="67">
                  <c:v>TM 2019 AZ</c:v>
                </c:pt>
                <c:pt idx="68">
                  <c:v>PI 2019 MX</c:v>
                </c:pt>
                <c:pt idx="69">
                  <c:v>ID 2017 CA</c:v>
                </c:pt>
                <c:pt idx="70">
                  <c:v>ID 2014 BA</c:v>
                </c:pt>
                <c:pt idx="71">
                  <c:v>TM 2016 CZ</c:v>
                </c:pt>
                <c:pt idx="72">
                  <c:v>ID 2019 UY</c:v>
                </c:pt>
                <c:pt idx="73">
                  <c:v>ID 2019 RU</c:v>
                </c:pt>
                <c:pt idx="74">
                  <c:v>PI 2017 GB</c:v>
                </c:pt>
                <c:pt idx="75">
                  <c:v>PI 2019 CY</c:v>
                </c:pt>
                <c:pt idx="76">
                  <c:v>PI 2015 MD</c:v>
                </c:pt>
                <c:pt idx="77">
                  <c:v>TM 2019 JP</c:v>
                </c:pt>
                <c:pt idx="78">
                  <c:v>TM 2019 BA</c:v>
                </c:pt>
                <c:pt idx="79">
                  <c:v>TM 2019 PY</c:v>
                </c:pt>
                <c:pt idx="80">
                  <c:v>ID 2019 MX</c:v>
                </c:pt>
                <c:pt idx="81">
                  <c:v>ID 2016 LT</c:v>
                </c:pt>
                <c:pt idx="82">
                  <c:v>PI 2017 SK</c:v>
                </c:pt>
                <c:pt idx="83">
                  <c:v>ID 2016 SK</c:v>
                </c:pt>
                <c:pt idx="84">
                  <c:v>TM 2017 SK</c:v>
                </c:pt>
                <c:pt idx="85">
                  <c:v>PI 2014 JP</c:v>
                </c:pt>
                <c:pt idx="86">
                  <c:v>TM 2019 RU</c:v>
                </c:pt>
                <c:pt idx="87">
                  <c:v>TM 2017 JP</c:v>
                </c:pt>
                <c:pt idx="88">
                  <c:v>PI 2014 CL</c:v>
                </c:pt>
                <c:pt idx="89">
                  <c:v>TM 2019 CY</c:v>
                </c:pt>
                <c:pt idx="90">
                  <c:v>ID 2017 CZ</c:v>
                </c:pt>
                <c:pt idx="91">
                  <c:v>TM 2017 PL</c:v>
                </c:pt>
                <c:pt idx="92">
                  <c:v>TM 2019 BR</c:v>
                </c:pt>
                <c:pt idx="93">
                  <c:v>PI 2019 RU</c:v>
                </c:pt>
                <c:pt idx="94">
                  <c:v>ID 2018 RU</c:v>
                </c:pt>
                <c:pt idx="95">
                  <c:v>PI 2019 EC</c:v>
                </c:pt>
                <c:pt idx="96">
                  <c:v>TM 2017 EC</c:v>
                </c:pt>
                <c:pt idx="97">
                  <c:v>PI 2016 EE</c:v>
                </c:pt>
                <c:pt idx="98">
                  <c:v>PI 2017 EC</c:v>
                </c:pt>
                <c:pt idx="99">
                  <c:v>ID 2019 JP</c:v>
                </c:pt>
                <c:pt idx="100">
                  <c:v>TM 2017 HU</c:v>
                </c:pt>
                <c:pt idx="101">
                  <c:v>PI 2016 JP</c:v>
                </c:pt>
                <c:pt idx="102">
                  <c:v>ID 2019 UA</c:v>
                </c:pt>
                <c:pt idx="103">
                  <c:v>TM 2019 EC</c:v>
                </c:pt>
                <c:pt idx="104">
                  <c:v>PI 2019 PY</c:v>
                </c:pt>
                <c:pt idx="105">
                  <c:v>TM 2017 GB</c:v>
                </c:pt>
                <c:pt idx="106">
                  <c:v>PI 2016 SK</c:v>
                </c:pt>
                <c:pt idx="107">
                  <c:v>PI 2019 UA</c:v>
                </c:pt>
                <c:pt idx="108">
                  <c:v>TM 2017 RS</c:v>
                </c:pt>
                <c:pt idx="109">
                  <c:v>ID 2016 HU</c:v>
                </c:pt>
                <c:pt idx="110">
                  <c:v>PI 2019 CA</c:v>
                </c:pt>
                <c:pt idx="111">
                  <c:v>ID 2014 JP</c:v>
                </c:pt>
                <c:pt idx="112">
                  <c:v>TM 2019 MG</c:v>
                </c:pt>
                <c:pt idx="113">
                  <c:v>TM 2017 EE</c:v>
                </c:pt>
                <c:pt idx="114">
                  <c:v>ID 2017 PL</c:v>
                </c:pt>
                <c:pt idx="115">
                  <c:v>TM 2016 JP</c:v>
                </c:pt>
                <c:pt idx="116">
                  <c:v>TM 2018 HU</c:v>
                </c:pt>
                <c:pt idx="117">
                  <c:v>TM 2019 UA</c:v>
                </c:pt>
                <c:pt idx="118">
                  <c:v>ID 2016 RU</c:v>
                </c:pt>
                <c:pt idx="119">
                  <c:v>ID 2016 JP</c:v>
                </c:pt>
                <c:pt idx="120">
                  <c:v>ID 2017 EE</c:v>
                </c:pt>
                <c:pt idx="121">
                  <c:v>TM 2015 SK</c:v>
                </c:pt>
                <c:pt idx="122">
                  <c:v>PI 2019 AZ</c:v>
                </c:pt>
                <c:pt idx="123">
                  <c:v>PI 2015 JP</c:v>
                </c:pt>
                <c:pt idx="124">
                  <c:v>PI 2019 BA</c:v>
                </c:pt>
                <c:pt idx="125">
                  <c:v>ID 2017 HU</c:v>
                </c:pt>
                <c:pt idx="126">
                  <c:v>PI 2016 CZ</c:v>
                </c:pt>
                <c:pt idx="127">
                  <c:v>ID 2019 CY</c:v>
                </c:pt>
                <c:pt idx="128">
                  <c:v>PI 2017 RU</c:v>
                </c:pt>
                <c:pt idx="129">
                  <c:v>PI 2017 HU</c:v>
                </c:pt>
                <c:pt idx="130">
                  <c:v>ID 2014 NO</c:v>
                </c:pt>
                <c:pt idx="131">
                  <c:v>PI 2016 UA</c:v>
                </c:pt>
                <c:pt idx="132">
                  <c:v>PI 2017 AU</c:v>
                </c:pt>
                <c:pt idx="133">
                  <c:v>ID 2014 CL</c:v>
                </c:pt>
                <c:pt idx="134">
                  <c:v>ID 2014 HU</c:v>
                </c:pt>
                <c:pt idx="135">
                  <c:v>ID 2016 CZ</c:v>
                </c:pt>
                <c:pt idx="136">
                  <c:v>ID 2019 CA</c:v>
                </c:pt>
                <c:pt idx="137">
                  <c:v>PI 2015 KG</c:v>
                </c:pt>
                <c:pt idx="138">
                  <c:v>TM 2016 EE</c:v>
                </c:pt>
                <c:pt idx="139">
                  <c:v>PI 2016 HU</c:v>
                </c:pt>
                <c:pt idx="140">
                  <c:v>PI 2015 EG</c:v>
                </c:pt>
                <c:pt idx="141">
                  <c:v>TM 2015 KR</c:v>
                </c:pt>
                <c:pt idx="142">
                  <c:v>PI 2014 PL</c:v>
                </c:pt>
                <c:pt idx="143">
                  <c:v>ID 2019 EC</c:v>
                </c:pt>
                <c:pt idx="144">
                  <c:v>TM 2019 CA</c:v>
                </c:pt>
                <c:pt idx="145">
                  <c:v>PI 2014 ES</c:v>
                </c:pt>
                <c:pt idx="146">
                  <c:v>TM 2015 KG</c:v>
                </c:pt>
                <c:pt idx="147">
                  <c:v>PI 2014 HR</c:v>
                </c:pt>
                <c:pt idx="148">
                  <c:v>TM 2018 CZ</c:v>
                </c:pt>
                <c:pt idx="149">
                  <c:v>ID 2014 MD</c:v>
                </c:pt>
                <c:pt idx="150">
                  <c:v>TM 2015 HR</c:v>
                </c:pt>
                <c:pt idx="151">
                  <c:v>PI 2014 IE</c:v>
                </c:pt>
                <c:pt idx="152">
                  <c:v>ID 2019 MG</c:v>
                </c:pt>
                <c:pt idx="153">
                  <c:v>PI 2019 MG</c:v>
                </c:pt>
                <c:pt idx="154">
                  <c:v>PI 2015 KR</c:v>
                </c:pt>
                <c:pt idx="155">
                  <c:v>ID 2019 BR</c:v>
                </c:pt>
                <c:pt idx="156">
                  <c:v>ID 2015 KG</c:v>
                </c:pt>
                <c:pt idx="157">
                  <c:v>TM 2017 AU</c:v>
                </c:pt>
              </c:strCache>
            </c:strRef>
          </c:cat>
          <c:val>
            <c:numRef>
              <c:f>'2020'!$V$2:$V$159</c:f>
              <c:numCache>
                <c:formatCode>General</c:formatCode>
                <c:ptCount val="158"/>
                <c:pt idx="0">
                  <c:v>38</c:v>
                </c:pt>
                <c:pt idx="1">
                  <c:v>24</c:v>
                </c:pt>
                <c:pt idx="2">
                  <c:v>20</c:v>
                </c:pt>
                <c:pt idx="3">
                  <c:v>18</c:v>
                </c:pt>
                <c:pt idx="4">
                  <c:v>18</c:v>
                </c:pt>
                <c:pt idx="5">
                  <c:v>17</c:v>
                </c:pt>
                <c:pt idx="6">
                  <c:v>17</c:v>
                </c:pt>
                <c:pt idx="7">
                  <c:v>16</c:v>
                </c:pt>
                <c:pt idx="8">
                  <c:v>15</c:v>
                </c:pt>
                <c:pt idx="9">
                  <c:v>14</c:v>
                </c:pt>
                <c:pt idx="10">
                  <c:v>14</c:v>
                </c:pt>
                <c:pt idx="11">
                  <c:v>14</c:v>
                </c:pt>
                <c:pt idx="12">
                  <c:v>13</c:v>
                </c:pt>
                <c:pt idx="13">
                  <c:v>13</c:v>
                </c:pt>
                <c:pt idx="14">
                  <c:v>10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5</c:v>
                </c:pt>
                <c:pt idx="37">
                  <c:v>5</c:v>
                </c:pt>
                <c:pt idx="38">
                  <c:v>5</c:v>
                </c:pt>
                <c:pt idx="39">
                  <c:v>5</c:v>
                </c:pt>
                <c:pt idx="40">
                  <c:v>5</c:v>
                </c:pt>
                <c:pt idx="41">
                  <c:v>5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  <c:pt idx="48">
                  <c:v>4</c:v>
                </c:pt>
                <c:pt idx="49">
                  <c:v>4</c:v>
                </c:pt>
                <c:pt idx="50">
                  <c:v>4</c:v>
                </c:pt>
                <c:pt idx="51">
                  <c:v>4</c:v>
                </c:pt>
                <c:pt idx="52">
                  <c:v>4</c:v>
                </c:pt>
                <c:pt idx="53">
                  <c:v>4</c:v>
                </c:pt>
                <c:pt idx="54">
                  <c:v>4</c:v>
                </c:pt>
                <c:pt idx="55">
                  <c:v>4</c:v>
                </c:pt>
                <c:pt idx="56">
                  <c:v>4</c:v>
                </c:pt>
                <c:pt idx="57">
                  <c:v>4</c:v>
                </c:pt>
                <c:pt idx="58">
                  <c:v>4</c:v>
                </c:pt>
                <c:pt idx="59">
                  <c:v>3</c:v>
                </c:pt>
                <c:pt idx="60">
                  <c:v>3</c:v>
                </c:pt>
                <c:pt idx="61">
                  <c:v>3</c:v>
                </c:pt>
                <c:pt idx="62">
                  <c:v>3</c:v>
                </c:pt>
                <c:pt idx="63">
                  <c:v>3</c:v>
                </c:pt>
                <c:pt idx="64">
                  <c:v>3</c:v>
                </c:pt>
                <c:pt idx="65">
                  <c:v>3</c:v>
                </c:pt>
                <c:pt idx="66">
                  <c:v>3</c:v>
                </c:pt>
                <c:pt idx="67">
                  <c:v>3</c:v>
                </c:pt>
                <c:pt idx="68">
                  <c:v>3</c:v>
                </c:pt>
                <c:pt idx="69">
                  <c:v>3</c:v>
                </c:pt>
                <c:pt idx="70">
                  <c:v>3</c:v>
                </c:pt>
                <c:pt idx="71">
                  <c:v>3</c:v>
                </c:pt>
                <c:pt idx="72">
                  <c:v>3</c:v>
                </c:pt>
                <c:pt idx="73">
                  <c:v>3</c:v>
                </c:pt>
                <c:pt idx="74">
                  <c:v>3</c:v>
                </c:pt>
                <c:pt idx="75">
                  <c:v>2</c:v>
                </c:pt>
                <c:pt idx="76">
                  <c:v>2</c:v>
                </c:pt>
                <c:pt idx="77">
                  <c:v>2</c:v>
                </c:pt>
                <c:pt idx="78">
                  <c:v>2</c:v>
                </c:pt>
                <c:pt idx="79">
                  <c:v>2</c:v>
                </c:pt>
                <c:pt idx="80">
                  <c:v>2</c:v>
                </c:pt>
                <c:pt idx="81">
                  <c:v>2</c:v>
                </c:pt>
                <c:pt idx="82">
                  <c:v>2</c:v>
                </c:pt>
                <c:pt idx="83">
                  <c:v>2</c:v>
                </c:pt>
                <c:pt idx="84">
                  <c:v>2</c:v>
                </c:pt>
                <c:pt idx="85">
                  <c:v>2</c:v>
                </c:pt>
                <c:pt idx="86">
                  <c:v>2</c:v>
                </c:pt>
                <c:pt idx="87">
                  <c:v>2</c:v>
                </c:pt>
                <c:pt idx="88">
                  <c:v>2</c:v>
                </c:pt>
                <c:pt idx="89">
                  <c:v>2</c:v>
                </c:pt>
                <c:pt idx="90">
                  <c:v>2</c:v>
                </c:pt>
                <c:pt idx="91">
                  <c:v>2</c:v>
                </c:pt>
                <c:pt idx="92">
                  <c:v>2</c:v>
                </c:pt>
                <c:pt idx="93">
                  <c:v>2</c:v>
                </c:pt>
                <c:pt idx="94">
                  <c:v>2</c:v>
                </c:pt>
                <c:pt idx="95">
                  <c:v>2</c:v>
                </c:pt>
                <c:pt idx="96">
                  <c:v>2</c:v>
                </c:pt>
                <c:pt idx="97">
                  <c:v>2</c:v>
                </c:pt>
                <c:pt idx="98">
                  <c:v>2</c:v>
                </c:pt>
                <c:pt idx="99">
                  <c:v>2</c:v>
                </c:pt>
                <c:pt idx="100">
                  <c:v>2</c:v>
                </c:pt>
                <c:pt idx="101">
                  <c:v>2</c:v>
                </c:pt>
                <c:pt idx="102">
                  <c:v>2</c:v>
                </c:pt>
                <c:pt idx="103">
                  <c:v>2</c:v>
                </c:pt>
                <c:pt idx="104">
                  <c:v>2</c:v>
                </c:pt>
                <c:pt idx="105">
                  <c:v>2</c:v>
                </c:pt>
                <c:pt idx="106">
                  <c:v>2</c:v>
                </c:pt>
                <c:pt idx="107">
                  <c:v>1</c:v>
                </c:pt>
                <c:pt idx="108">
                  <c:v>1</c:v>
                </c:pt>
                <c:pt idx="109">
                  <c:v>1</c:v>
                </c:pt>
                <c:pt idx="110">
                  <c:v>1</c:v>
                </c:pt>
                <c:pt idx="111">
                  <c:v>1</c:v>
                </c:pt>
                <c:pt idx="112">
                  <c:v>1</c:v>
                </c:pt>
                <c:pt idx="113">
                  <c:v>1</c:v>
                </c:pt>
                <c:pt idx="114">
                  <c:v>1</c:v>
                </c:pt>
                <c:pt idx="115">
                  <c:v>1</c:v>
                </c:pt>
                <c:pt idx="116">
                  <c:v>1</c:v>
                </c:pt>
                <c:pt idx="117">
                  <c:v>1</c:v>
                </c:pt>
                <c:pt idx="118">
                  <c:v>1</c:v>
                </c:pt>
                <c:pt idx="119">
                  <c:v>1</c:v>
                </c:pt>
                <c:pt idx="120">
                  <c:v>1</c:v>
                </c:pt>
                <c:pt idx="121">
                  <c:v>1</c:v>
                </c:pt>
                <c:pt idx="122">
                  <c:v>1</c:v>
                </c:pt>
                <c:pt idx="123">
                  <c:v>1</c:v>
                </c:pt>
                <c:pt idx="124">
                  <c:v>1</c:v>
                </c:pt>
                <c:pt idx="125">
                  <c:v>1</c:v>
                </c:pt>
                <c:pt idx="126">
                  <c:v>1</c:v>
                </c:pt>
                <c:pt idx="127">
                  <c:v>1</c:v>
                </c:pt>
                <c:pt idx="128">
                  <c:v>1</c:v>
                </c:pt>
                <c:pt idx="129">
                  <c:v>1</c:v>
                </c:pt>
                <c:pt idx="130">
                  <c:v>1</c:v>
                </c:pt>
                <c:pt idx="131">
                  <c:v>1</c:v>
                </c:pt>
                <c:pt idx="132">
                  <c:v>1</c:v>
                </c:pt>
                <c:pt idx="133">
                  <c:v>1</c:v>
                </c:pt>
                <c:pt idx="134">
                  <c:v>1</c:v>
                </c:pt>
                <c:pt idx="135">
                  <c:v>1</c:v>
                </c:pt>
                <c:pt idx="136">
                  <c:v>1</c:v>
                </c:pt>
                <c:pt idx="137">
                  <c:v>1</c:v>
                </c:pt>
                <c:pt idx="138">
                  <c:v>1</c:v>
                </c:pt>
                <c:pt idx="139">
                  <c:v>1</c:v>
                </c:pt>
                <c:pt idx="140">
                  <c:v>1</c:v>
                </c:pt>
                <c:pt idx="141">
                  <c:v>1</c:v>
                </c:pt>
                <c:pt idx="142">
                  <c:v>1</c:v>
                </c:pt>
                <c:pt idx="143">
                  <c:v>1</c:v>
                </c:pt>
                <c:pt idx="144">
                  <c:v>1</c:v>
                </c:pt>
                <c:pt idx="145">
                  <c:v>1</c:v>
                </c:pt>
                <c:pt idx="146">
                  <c:v>1</c:v>
                </c:pt>
                <c:pt idx="147">
                  <c:v>1</c:v>
                </c:pt>
                <c:pt idx="148">
                  <c:v>1</c:v>
                </c:pt>
                <c:pt idx="149">
                  <c:v>1</c:v>
                </c:pt>
                <c:pt idx="150">
                  <c:v>1</c:v>
                </c:pt>
                <c:pt idx="151">
                  <c:v>1</c:v>
                </c:pt>
                <c:pt idx="152">
                  <c:v>1</c:v>
                </c:pt>
                <c:pt idx="153">
                  <c:v>1</c:v>
                </c:pt>
                <c:pt idx="154">
                  <c:v>1</c:v>
                </c:pt>
                <c:pt idx="155">
                  <c:v>1</c:v>
                </c:pt>
                <c:pt idx="156">
                  <c:v>1</c:v>
                </c:pt>
                <c:pt idx="15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F-427F-A523-E3E0A5A3C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axId val="413159407"/>
        <c:axId val="413185615"/>
      </c:barChart>
      <c:catAx>
        <c:axId val="413159407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 rtl="1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100"/>
                  <a:t>فرادى صفحات التقارير (توضع علامة على كل عنصر رابع)</a:t>
                </a:r>
                <a:endParaRPr lang="en-US" sz="11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1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185615"/>
        <c:crosses val="autoZero"/>
        <c:auto val="1"/>
        <c:lblAlgn val="ctr"/>
        <c:lblOffset val="100"/>
        <c:noMultiLvlLbl val="1"/>
      </c:catAx>
      <c:valAx>
        <c:axId val="413185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400"/>
                  <a:t>عدد زيارات الصفحة</a:t>
                </a:r>
                <a:endParaRPr lang="en-US" sz="14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159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DD87-56FF-44C2-86B5-363E9AF9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11197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CWS/9/1 PROV. (Arabic)</vt:lpstr>
      <vt:lpstr>CWS/9/1 PROV. (Arabic)</vt:lpstr>
    </vt:vector>
  </TitlesOfParts>
  <Company>WIPO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CWS/9/18</dc:title>
  <dc:creator>WIPO</dc:creator>
  <cp:keywords>FOR OFFICIAL USE ONLY</cp:keywords>
  <cp:lastModifiedBy>CHAVAS Louison</cp:lastModifiedBy>
  <cp:revision>2</cp:revision>
  <cp:lastPrinted>2021-09-30T08:20:00Z</cp:lastPrinted>
  <dcterms:created xsi:type="dcterms:W3CDTF">2021-10-01T07:38:00Z</dcterms:created>
  <dcterms:modified xsi:type="dcterms:W3CDTF">2021-10-01T07:38:00Z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