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D17C61" w14:textId="77777777" w:rsidR="008B2CC1" w:rsidRPr="002D367C" w:rsidRDefault="00CC3E2D" w:rsidP="00CC3E2D">
      <w:pPr>
        <w:pBdr>
          <w:bottom w:val="single" w:sz="4" w:space="10" w:color="auto"/>
        </w:pBdr>
        <w:bidi w:val="0"/>
        <w:spacing w:after="120"/>
        <w:rPr>
          <w:b/>
          <w:sz w:val="32"/>
          <w:szCs w:val="40"/>
          <w:lang w:val="fr-FR"/>
        </w:rPr>
      </w:pPr>
      <w:r w:rsidRPr="00CC3E2D">
        <w:rPr>
          <w:b/>
          <w:noProof/>
          <w:sz w:val="32"/>
          <w:szCs w:val="40"/>
        </w:rPr>
        <mc:AlternateContent>
          <mc:Choice Requires="wpg">
            <w:drawing>
              <wp:inline distT="0" distB="0" distL="0" distR="0" wp14:anchorId="3A23EBFC" wp14:editId="0F20E9CF">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F91A68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59D5BC0" w14:textId="2404ED86" w:rsidR="008B2CC1" w:rsidRPr="002326AB" w:rsidRDefault="00FE5D75" w:rsidP="00250149">
      <w:pPr>
        <w:bidi w:val="0"/>
        <w:rPr>
          <w:rFonts w:ascii="Arial Black" w:hAnsi="Arial Black"/>
          <w:caps/>
          <w:sz w:val="15"/>
          <w:szCs w:val="15"/>
          <w:rtl/>
          <w:lang w:bidi="ar-EG"/>
        </w:rPr>
      </w:pPr>
      <w:bookmarkStart w:id="1" w:name="Code"/>
      <w:bookmarkEnd w:id="1"/>
      <w:r w:rsidRPr="00C728E3">
        <w:rPr>
          <w:rFonts w:ascii="Arial Black" w:hAnsi="Arial Black"/>
          <w:caps/>
          <w:sz w:val="15"/>
          <w:szCs w:val="15"/>
          <w:lang w:val="fr-FR"/>
        </w:rPr>
        <w:t>CWS/9/</w:t>
      </w:r>
      <w:r w:rsidR="00C53D5B" w:rsidRPr="00C728E3">
        <w:rPr>
          <w:rFonts w:ascii="Arial Black" w:hAnsi="Arial Black"/>
          <w:caps/>
          <w:sz w:val="15"/>
          <w:szCs w:val="15"/>
          <w:lang w:val="fr-FR"/>
        </w:rPr>
        <w:t>2</w:t>
      </w:r>
    </w:p>
    <w:p w14:paraId="00D5854F" w14:textId="77777777" w:rsidR="008B2CC1" w:rsidRPr="00C728E3" w:rsidRDefault="00CC3E2D" w:rsidP="00CC3E2D">
      <w:pPr>
        <w:jc w:val="right"/>
        <w:rPr>
          <w:rFonts w:asciiTheme="minorHAnsi" w:hAnsiTheme="minorHAnsi" w:cstheme="minorHAnsi"/>
          <w:caps/>
          <w:sz w:val="15"/>
          <w:szCs w:val="15"/>
          <w:lang w:val="fr-FR"/>
        </w:rPr>
      </w:pPr>
      <w:bookmarkStart w:id="2"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262607" w:rsidRPr="00262607">
        <w:rPr>
          <w:rFonts w:asciiTheme="minorHAnsi" w:hAnsiTheme="minorHAnsi"/>
          <w:caps/>
          <w:sz w:val="15"/>
          <w:szCs w:val="15"/>
          <w:rtl/>
        </w:rPr>
        <w:t>بالإنكليزية</w:t>
      </w:r>
    </w:p>
    <w:p w14:paraId="1A67CFCA" w14:textId="3913A166" w:rsidR="008B2CC1" w:rsidRPr="00C728E3" w:rsidRDefault="00CC3E2D" w:rsidP="00FE132C">
      <w:pPr>
        <w:spacing w:after="1200"/>
        <w:jc w:val="right"/>
        <w:rPr>
          <w:rFonts w:asciiTheme="minorHAnsi" w:hAnsiTheme="minorHAnsi" w:cstheme="minorHAnsi"/>
          <w:b/>
          <w:bCs/>
          <w:caps/>
          <w:sz w:val="15"/>
          <w:szCs w:val="15"/>
          <w:lang w:val="fr-FR"/>
        </w:rPr>
      </w:pPr>
      <w:bookmarkStart w:id="3" w:name="Date"/>
      <w:bookmarkEnd w:id="2"/>
      <w:r>
        <w:rPr>
          <w:rFonts w:asciiTheme="minorHAnsi" w:hAnsiTheme="minorHAnsi" w:cstheme="minorHAnsi" w:hint="cs"/>
          <w:b/>
          <w:bCs/>
          <w:caps/>
          <w:sz w:val="15"/>
          <w:szCs w:val="15"/>
          <w:rtl/>
        </w:rPr>
        <w:t>التاريخ:</w:t>
      </w:r>
      <w:r w:rsidR="00262607">
        <w:rPr>
          <w:rFonts w:asciiTheme="minorHAnsi" w:hAnsiTheme="minorHAnsi" w:cstheme="minorHAnsi" w:hint="cs"/>
          <w:b/>
          <w:bCs/>
          <w:caps/>
          <w:sz w:val="15"/>
          <w:szCs w:val="15"/>
          <w:rtl/>
        </w:rPr>
        <w:t xml:space="preserve"> </w:t>
      </w:r>
      <w:r w:rsidR="00C53D5B">
        <w:rPr>
          <w:rFonts w:asciiTheme="minorHAnsi" w:hAnsiTheme="minorHAnsi" w:cstheme="minorHAnsi" w:hint="cs"/>
          <w:b/>
          <w:bCs/>
          <w:caps/>
          <w:sz w:val="15"/>
          <w:szCs w:val="15"/>
          <w:rtl/>
        </w:rPr>
        <w:t>6</w:t>
      </w:r>
      <w:r w:rsidR="00B831AA">
        <w:rPr>
          <w:rFonts w:asciiTheme="minorHAnsi" w:hAnsiTheme="minorHAnsi" w:cstheme="minorHAnsi" w:hint="cs"/>
          <w:b/>
          <w:bCs/>
          <w:caps/>
          <w:sz w:val="15"/>
          <w:szCs w:val="15"/>
          <w:rtl/>
        </w:rPr>
        <w:t xml:space="preserve"> </w:t>
      </w:r>
      <w:r w:rsidR="00C53D5B">
        <w:rPr>
          <w:rFonts w:asciiTheme="minorHAnsi" w:hAnsiTheme="minorHAnsi" w:cstheme="minorHAnsi" w:hint="cs"/>
          <w:b/>
          <w:bCs/>
          <w:caps/>
          <w:sz w:val="15"/>
          <w:szCs w:val="15"/>
          <w:rtl/>
        </w:rPr>
        <w:t>أكتوبر</w:t>
      </w:r>
      <w:r w:rsidR="00262607">
        <w:rPr>
          <w:rFonts w:asciiTheme="minorHAnsi" w:hAnsiTheme="minorHAnsi" w:cstheme="minorHAnsi" w:hint="cs"/>
          <w:b/>
          <w:bCs/>
          <w:caps/>
          <w:sz w:val="15"/>
          <w:szCs w:val="15"/>
          <w:rtl/>
        </w:rPr>
        <w:t xml:space="preserve"> 2021</w:t>
      </w:r>
      <w:r>
        <w:rPr>
          <w:rFonts w:asciiTheme="minorHAnsi" w:hAnsiTheme="minorHAnsi" w:cstheme="minorHAnsi" w:hint="cs"/>
          <w:b/>
          <w:bCs/>
          <w:caps/>
          <w:sz w:val="15"/>
          <w:szCs w:val="15"/>
          <w:rtl/>
        </w:rPr>
        <w:t xml:space="preserve"> </w:t>
      </w:r>
    </w:p>
    <w:bookmarkEnd w:id="3"/>
    <w:p w14:paraId="1B9B32AE" w14:textId="77777777" w:rsidR="008B2CC1" w:rsidRPr="00C728E3" w:rsidRDefault="00250149" w:rsidP="00FE5D75">
      <w:pPr>
        <w:pStyle w:val="Heading1"/>
        <w:rPr>
          <w:lang w:val="fr-FR"/>
        </w:rPr>
      </w:pPr>
      <w:r>
        <w:rPr>
          <w:rFonts w:hint="cs"/>
          <w:rtl/>
        </w:rPr>
        <w:t xml:space="preserve">اللجنة </w:t>
      </w:r>
      <w:r w:rsidR="00FE5D75">
        <w:rPr>
          <w:rFonts w:hint="cs"/>
          <w:rtl/>
        </w:rPr>
        <w:t>المعنية بمعايير الويبو</w:t>
      </w:r>
    </w:p>
    <w:p w14:paraId="2BF40854" w14:textId="77777777" w:rsidR="00A90F0A" w:rsidRPr="00C728E3" w:rsidRDefault="00D67EAE" w:rsidP="00FE5D75">
      <w:pPr>
        <w:outlineLvl w:val="1"/>
        <w:rPr>
          <w:rFonts w:asciiTheme="minorHAnsi" w:hAnsiTheme="minorHAnsi" w:cstheme="minorHAnsi"/>
          <w:bCs/>
          <w:sz w:val="24"/>
          <w:szCs w:val="24"/>
          <w:lang w:val="fr-FR"/>
        </w:rPr>
      </w:pPr>
      <w:r w:rsidRPr="00D67EAE">
        <w:rPr>
          <w:rFonts w:asciiTheme="minorHAnsi" w:hAnsiTheme="minorHAnsi" w:cstheme="minorHAnsi" w:hint="cs"/>
          <w:bCs/>
          <w:sz w:val="24"/>
          <w:szCs w:val="24"/>
          <w:rtl/>
        </w:rPr>
        <w:t xml:space="preserve">الدورة </w:t>
      </w:r>
      <w:r w:rsidR="00FE5D75">
        <w:rPr>
          <w:rFonts w:asciiTheme="minorHAnsi" w:hAnsiTheme="minorHAnsi" w:cstheme="minorHAnsi" w:hint="cs"/>
          <w:bCs/>
          <w:sz w:val="24"/>
          <w:szCs w:val="24"/>
          <w:rtl/>
        </w:rPr>
        <w:t>التاسعة</w:t>
      </w:r>
    </w:p>
    <w:p w14:paraId="4BF048CE" w14:textId="77777777" w:rsidR="008B2CC1" w:rsidRPr="00C728E3" w:rsidRDefault="00D67EAE" w:rsidP="00FE5D75">
      <w:pPr>
        <w:spacing w:after="720"/>
        <w:outlineLvl w:val="1"/>
        <w:rPr>
          <w:rFonts w:asciiTheme="minorHAnsi" w:hAnsiTheme="minorHAnsi" w:cstheme="minorHAnsi"/>
          <w:bCs/>
          <w:sz w:val="24"/>
          <w:szCs w:val="24"/>
          <w:lang w:val="fr-FR"/>
        </w:rPr>
      </w:pPr>
      <w:r w:rsidRPr="00D67EAE">
        <w:rPr>
          <w:rFonts w:asciiTheme="minorHAnsi" w:hAnsiTheme="minorHAnsi" w:cstheme="minorHAnsi" w:hint="cs"/>
          <w:bCs/>
          <w:sz w:val="24"/>
          <w:szCs w:val="24"/>
          <w:rtl/>
        </w:rPr>
        <w:t xml:space="preserve">جنيف، من </w:t>
      </w:r>
      <w:r w:rsidR="00FE5D75">
        <w:rPr>
          <w:rFonts w:asciiTheme="minorHAnsi" w:hAnsiTheme="minorHAnsi" w:cstheme="minorHAnsi" w:hint="cs"/>
          <w:bCs/>
          <w:sz w:val="24"/>
          <w:szCs w:val="24"/>
          <w:rtl/>
        </w:rPr>
        <w:t>1</w:t>
      </w:r>
      <w:r w:rsidRPr="00D67EAE">
        <w:rPr>
          <w:rFonts w:asciiTheme="minorHAnsi" w:hAnsiTheme="minorHAnsi" w:cstheme="minorHAnsi" w:hint="cs"/>
          <w:bCs/>
          <w:sz w:val="24"/>
          <w:szCs w:val="24"/>
          <w:rtl/>
        </w:rPr>
        <w:t xml:space="preserve"> إلى </w:t>
      </w:r>
      <w:r w:rsidR="00FE5D75">
        <w:rPr>
          <w:rFonts w:asciiTheme="minorHAnsi" w:hAnsiTheme="minorHAnsi" w:cstheme="minorHAnsi" w:hint="cs"/>
          <w:bCs/>
          <w:sz w:val="24"/>
          <w:szCs w:val="24"/>
          <w:rtl/>
        </w:rPr>
        <w:t>5</w:t>
      </w:r>
      <w:r w:rsidRPr="00D67EAE">
        <w:rPr>
          <w:rFonts w:asciiTheme="minorHAnsi" w:hAnsiTheme="minorHAnsi" w:cstheme="minorHAnsi" w:hint="cs"/>
          <w:bCs/>
          <w:sz w:val="24"/>
          <w:szCs w:val="24"/>
          <w:rtl/>
        </w:rPr>
        <w:t xml:space="preserve"> </w:t>
      </w:r>
      <w:r w:rsidR="00FE5D75">
        <w:rPr>
          <w:rFonts w:asciiTheme="minorHAnsi" w:hAnsiTheme="minorHAnsi" w:cstheme="minorHAnsi" w:hint="cs"/>
          <w:bCs/>
          <w:sz w:val="24"/>
          <w:szCs w:val="24"/>
          <w:rtl/>
        </w:rPr>
        <w:t>نوفمبر</w:t>
      </w:r>
      <w:r w:rsidR="00250149">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2021</w:t>
      </w:r>
    </w:p>
    <w:p w14:paraId="5C25F790" w14:textId="5CB3B92D" w:rsidR="008B2CC1" w:rsidRPr="00C0013E" w:rsidRDefault="00C53D5B" w:rsidP="002D4484">
      <w:pPr>
        <w:spacing w:after="360"/>
        <w:outlineLvl w:val="0"/>
        <w:rPr>
          <w:rFonts w:asciiTheme="minorHAnsi" w:hAnsiTheme="minorHAnsi" w:cstheme="minorHAnsi"/>
          <w:caps/>
          <w:sz w:val="24"/>
          <w:szCs w:val="24"/>
          <w:lang w:val="fr-FR"/>
        </w:rPr>
      </w:pPr>
      <w:bookmarkStart w:id="4" w:name="TitleOfDoc"/>
      <w:r w:rsidRPr="00C53D5B">
        <w:rPr>
          <w:rFonts w:asciiTheme="minorHAnsi" w:hAnsiTheme="minorHAnsi"/>
          <w:caps/>
          <w:sz w:val="24"/>
          <w:szCs w:val="24"/>
          <w:rtl/>
        </w:rPr>
        <w:t>نشر نتائج الدراسة الاستقصائية عن أولوية التوصيات الأربعين بشأن استراتيجيات تكنولوجيا المعلومات</w:t>
      </w:r>
    </w:p>
    <w:p w14:paraId="3797470C" w14:textId="77777777" w:rsidR="002928D3" w:rsidRPr="00C728E3" w:rsidRDefault="00D67EAE" w:rsidP="00E655A0">
      <w:pPr>
        <w:spacing w:after="1040"/>
        <w:rPr>
          <w:rFonts w:asciiTheme="minorHAnsi" w:hAnsiTheme="minorHAnsi" w:cstheme="minorHAnsi"/>
          <w:b/>
          <w:bCs/>
          <w:iCs/>
          <w:lang w:val="fr-FR"/>
        </w:rPr>
      </w:pPr>
      <w:bookmarkStart w:id="5" w:name="Prepared"/>
      <w:bookmarkEnd w:id="4"/>
      <w:bookmarkEnd w:id="5"/>
      <w:r w:rsidRPr="00D67EAE">
        <w:rPr>
          <w:rFonts w:asciiTheme="minorHAnsi" w:hAnsiTheme="minorHAnsi" w:cstheme="minorHAnsi" w:hint="cs"/>
          <w:iCs/>
          <w:rtl/>
        </w:rPr>
        <w:t>وثيقة من إعداد</w:t>
      </w:r>
      <w:r w:rsidR="00262607">
        <w:rPr>
          <w:rFonts w:asciiTheme="minorHAnsi" w:hAnsiTheme="minorHAnsi" w:cstheme="minorHAnsi" w:hint="cs"/>
          <w:iCs/>
          <w:rtl/>
        </w:rPr>
        <w:t xml:space="preserve"> </w:t>
      </w:r>
      <w:r w:rsidR="00E655A0">
        <w:rPr>
          <w:rFonts w:asciiTheme="minorHAnsi" w:hAnsiTheme="minorHAnsi" w:cstheme="minorHAnsi" w:hint="cs"/>
          <w:iCs/>
          <w:rtl/>
        </w:rPr>
        <w:t>المكتب الدولي</w:t>
      </w:r>
    </w:p>
    <w:p w14:paraId="418D7B3D" w14:textId="77777777" w:rsidR="007969D1" w:rsidRPr="00C728E3" w:rsidRDefault="00FE132C" w:rsidP="00FE132C">
      <w:pPr>
        <w:pStyle w:val="Heading2"/>
        <w:rPr>
          <w:i/>
          <w:iCs w:val="0"/>
          <w:lang w:val="fr-FR" w:eastAsia="en-US" w:bidi="ar-LB"/>
        </w:rPr>
      </w:pPr>
      <w:r w:rsidRPr="00FE132C">
        <w:rPr>
          <w:rFonts w:hint="cs"/>
          <w:i/>
          <w:iCs w:val="0"/>
          <w:rtl/>
          <w:lang w:eastAsia="en-US"/>
        </w:rPr>
        <w:t>معلومات أساسية</w:t>
      </w:r>
    </w:p>
    <w:p w14:paraId="31C9D8D0" w14:textId="03AF4A9F" w:rsidR="00C53D5B" w:rsidRDefault="00C53D5B" w:rsidP="00C53D5B">
      <w:pPr>
        <w:pStyle w:val="ONUMA"/>
      </w:pPr>
      <w:r>
        <w:rPr>
          <w:rtl/>
        </w:rPr>
        <w:t>أحاطت اللجنة المعنية بمعايير الويبو (لجنة المعايير)، خلال دورتها السادسة المنعقدة في أكتوبر 2019، علماً بالتوصيات الأربعين التي أعدت في الاجتماع المنعقد بشأن استراتيجية تكنولوجيا المعلومات والذكاء الاصطناعي، الذي دعا إليه المكتب الدولي من أجل تبادل وجهات النظر والتجارب في مجال إدارة تكنولوجيا المعلومات والأعمال في سبيل تحقيق إدارة فعالة لمكاتب الملكية الفكرية.</w:t>
      </w:r>
      <w:r>
        <w:rPr>
          <w:rFonts w:hint="cs"/>
          <w:rtl/>
        </w:rPr>
        <w:t xml:space="preserve"> </w:t>
      </w:r>
      <w:r>
        <w:rPr>
          <w:rtl/>
        </w:rPr>
        <w:t xml:space="preserve">ونظرت لجنة المعايير في تحليل التوصيات الأربعين الذي أعدته الأمانة العامة وفي مدى </w:t>
      </w:r>
      <w:r w:rsidR="00A100D5">
        <w:rPr>
          <w:rFonts w:hint="cs"/>
          <w:rtl/>
        </w:rPr>
        <w:t>وجاهة</w:t>
      </w:r>
      <w:r>
        <w:rPr>
          <w:rtl/>
        </w:rPr>
        <w:t xml:space="preserve"> تلك التوصيات لأنشطتها </w:t>
      </w:r>
      <w:r>
        <w:rPr>
          <w:rFonts w:hint="cs"/>
          <w:rtl/>
        </w:rPr>
        <w:t>المصنفة إلى ثلاث مجموعات و</w:t>
      </w:r>
      <w:r>
        <w:rPr>
          <w:rtl/>
        </w:rPr>
        <w:t xml:space="preserve">المبينة في </w:t>
      </w:r>
      <w:r w:rsidR="00832717">
        <w:fldChar w:fldCharType="begin"/>
      </w:r>
      <w:r w:rsidR="00832717" w:rsidRPr="00C728E3">
        <w:rPr>
          <w:lang w:val="fr-FR"/>
        </w:rPr>
        <w:instrText xml:space="preserve"> HYPERLINK "https://www.wipo.int/meetings/ar/doc_details.jsp?doc_id=415579" </w:instrText>
      </w:r>
      <w:r w:rsidR="00832717">
        <w:fldChar w:fldCharType="separate"/>
      </w:r>
      <w:r w:rsidRPr="00166447">
        <w:rPr>
          <w:rStyle w:val="Hyperlink"/>
          <w:rtl/>
        </w:rPr>
        <w:t xml:space="preserve">مرفق الوثيقة </w:t>
      </w:r>
      <w:r w:rsidRPr="00C728E3">
        <w:rPr>
          <w:rStyle w:val="Hyperlink"/>
          <w:lang w:val="fr-FR"/>
        </w:rPr>
        <w:t>CWS/6/3</w:t>
      </w:r>
      <w:r w:rsidR="00832717">
        <w:rPr>
          <w:rStyle w:val="Hyperlink"/>
        </w:rPr>
        <w:fldChar w:fldCharType="end"/>
      </w:r>
      <w:r>
        <w:rPr>
          <w:rtl/>
        </w:rPr>
        <w:t>.</w:t>
      </w:r>
      <w:r>
        <w:rPr>
          <w:rFonts w:hint="cs"/>
          <w:rtl/>
        </w:rPr>
        <w:t xml:space="preserve"> </w:t>
      </w:r>
      <w:r>
        <w:rPr>
          <w:rtl/>
        </w:rPr>
        <w:t xml:space="preserve">(انظر الفقرتين 18 و19 من الوثيقة </w:t>
      </w:r>
      <w:r>
        <w:t>CWS/6/34</w:t>
      </w:r>
      <w:r>
        <w:rPr>
          <w:rtl/>
        </w:rPr>
        <w:t>).</w:t>
      </w:r>
    </w:p>
    <w:p w14:paraId="62432262" w14:textId="7D2DDDF1" w:rsidR="00B831AA" w:rsidRDefault="00C53D5B" w:rsidP="00021144">
      <w:pPr>
        <w:pStyle w:val="ONUMA"/>
      </w:pPr>
      <w:r>
        <w:rPr>
          <w:rtl/>
        </w:rPr>
        <w:t xml:space="preserve">وأنشأت لجنة المعايير، في دورتها السادسة، المهمة الجديدة رقم </w:t>
      </w:r>
      <w:r w:rsidR="00021144">
        <w:rPr>
          <w:rFonts w:hint="cs"/>
          <w:rtl/>
        </w:rPr>
        <w:t xml:space="preserve">58 </w:t>
      </w:r>
      <w:r w:rsidR="00021144">
        <w:rPr>
          <w:rtl/>
        </w:rPr>
        <w:t>وأنشأت فرقة العمل المعنية باستراتيجية تكنولوجيا المعلومات للمعايير (المشار إليها فيما يلي بـ "فرقة العمل المعنية باستراتيجية تكنولوجيا المعلومات" أو "فرقة العمل") للعمل على المهمة رقم 58، وعيّنت المكتب الدولي مشرفاً على فرقة العمل.</w:t>
      </w:r>
      <w:r w:rsidR="00021144">
        <w:rPr>
          <w:rFonts w:hint="cs"/>
          <w:rtl/>
        </w:rPr>
        <w:t xml:space="preserve"> </w:t>
      </w:r>
      <w:r w:rsidR="00021144">
        <w:rPr>
          <w:rtl/>
        </w:rPr>
        <w:t>وطلبت لجنة المعايير من المكتب الدولي أن يصدر تعميماً يدعو فيه مكاتب الملكية الفكرية إلى تسمية مدير (مدراء) أعمال و/أو مسؤول (مسؤولين) عن سياسات تكنولوجيا المعلومات لتشكيل فرفة العمل الجديدة، وليكونوا متطوعين يشاركون المكتب الدولي في إشرافه على فرقة العمل.</w:t>
      </w:r>
      <w:r w:rsidR="00021144">
        <w:rPr>
          <w:rFonts w:hint="cs"/>
          <w:rtl/>
        </w:rPr>
        <w:t xml:space="preserve"> </w:t>
      </w:r>
      <w:r w:rsidR="00021144">
        <w:rPr>
          <w:rtl/>
        </w:rPr>
        <w:t xml:space="preserve">(انظر الفقرات من 17 إلى 24 من الوثيقة </w:t>
      </w:r>
      <w:r w:rsidR="00021144">
        <w:t>CWS/6/34</w:t>
      </w:r>
      <w:r w:rsidR="00021144">
        <w:rPr>
          <w:rtl/>
        </w:rPr>
        <w:t>).</w:t>
      </w:r>
    </w:p>
    <w:p w14:paraId="35941C68" w14:textId="209BB661" w:rsidR="004C43C6" w:rsidRDefault="00021144" w:rsidP="004C43C6">
      <w:pPr>
        <w:pStyle w:val="ONUMA"/>
      </w:pPr>
      <w:r>
        <w:rPr>
          <w:rFonts w:hint="cs"/>
          <w:rtl/>
        </w:rPr>
        <w:t>وأحاطت</w:t>
      </w:r>
      <w:r>
        <w:rPr>
          <w:rtl/>
        </w:rPr>
        <w:t xml:space="preserve"> </w:t>
      </w:r>
      <w:r>
        <w:rPr>
          <w:rFonts w:hint="cs"/>
          <w:rtl/>
        </w:rPr>
        <w:t>لجنة المعايير</w:t>
      </w:r>
      <w:r>
        <w:rPr>
          <w:rtl/>
        </w:rPr>
        <w:t xml:space="preserve"> في دورتها الثامنة</w:t>
      </w:r>
      <w:r>
        <w:rPr>
          <w:rFonts w:hint="cs"/>
          <w:rtl/>
        </w:rPr>
        <w:t xml:space="preserve"> علما</w:t>
      </w:r>
      <w:r>
        <w:rPr>
          <w:rtl/>
        </w:rPr>
        <w:t xml:space="preserve"> </w:t>
      </w:r>
      <w:r>
        <w:rPr>
          <w:rFonts w:hint="cs"/>
          <w:rtl/>
        </w:rPr>
        <w:t>ب</w:t>
      </w:r>
      <w:r>
        <w:rPr>
          <w:rtl/>
        </w:rPr>
        <w:t xml:space="preserve">التقرير المرحلي </w:t>
      </w:r>
      <w:r>
        <w:rPr>
          <w:rFonts w:hint="cs"/>
          <w:rtl/>
        </w:rPr>
        <w:t xml:space="preserve">الصادر عن </w:t>
      </w:r>
      <w:r>
        <w:rPr>
          <w:rtl/>
        </w:rPr>
        <w:t xml:space="preserve">فرقة العمل المعنية باستراتيجية تكنولوجيا المعلومات، والذي يتضمن أولوية </w:t>
      </w:r>
      <w:r w:rsidR="00A100D5">
        <w:rPr>
          <w:rFonts w:hint="cs"/>
          <w:rtl/>
        </w:rPr>
        <w:t>التوصيات الأربعين التي</w:t>
      </w:r>
      <w:r>
        <w:rPr>
          <w:rtl/>
        </w:rPr>
        <w:t xml:space="preserve"> اقترحتها فرقة العمل، وإعادة </w:t>
      </w:r>
      <w:r w:rsidR="00A100D5">
        <w:rPr>
          <w:rFonts w:hint="cs"/>
          <w:rtl/>
        </w:rPr>
        <w:t>تخصيص</w:t>
      </w:r>
      <w:r>
        <w:rPr>
          <w:rtl/>
        </w:rPr>
        <w:t xml:space="preserve"> التوصيات التالية: </w:t>
      </w:r>
      <w:r>
        <w:t>20</w:t>
      </w:r>
      <w:r>
        <w:rPr>
          <w:rtl/>
        </w:rPr>
        <w:t xml:space="preserve"> و</w:t>
      </w:r>
      <w:r>
        <w:t>33</w:t>
      </w:r>
      <w:r>
        <w:rPr>
          <w:rtl/>
        </w:rPr>
        <w:t xml:space="preserve"> و</w:t>
      </w:r>
      <w:r>
        <w:t>35</w:t>
      </w:r>
      <w:r>
        <w:rPr>
          <w:rtl/>
        </w:rPr>
        <w:t xml:space="preserve"> </w:t>
      </w:r>
      <w:r w:rsidR="00A100D5">
        <w:rPr>
          <w:rFonts w:hint="cs"/>
          <w:rtl/>
        </w:rPr>
        <w:t>من</w:t>
      </w:r>
      <w:r>
        <w:rPr>
          <w:rtl/>
        </w:rPr>
        <w:t xml:space="preserve"> المجموعة 1 </w:t>
      </w:r>
      <w:r w:rsidR="00A100D5">
        <w:rPr>
          <w:rFonts w:hint="cs"/>
          <w:rtl/>
        </w:rPr>
        <w:t>إلى</w:t>
      </w:r>
      <w:r>
        <w:rPr>
          <w:rtl/>
        </w:rPr>
        <w:t xml:space="preserve"> المجموعة 2، مع استمرار إدراج التوصيات التالية في المجموعة 3 (يبدو أن التوصيات ليست </w:t>
      </w:r>
      <w:r w:rsidR="00A100D5">
        <w:rPr>
          <w:rFonts w:hint="cs"/>
          <w:rtl/>
        </w:rPr>
        <w:t>وجيهة</w:t>
      </w:r>
      <w:r>
        <w:rPr>
          <w:rtl/>
        </w:rPr>
        <w:t xml:space="preserve"> </w:t>
      </w:r>
      <w:r w:rsidR="00A100D5">
        <w:rPr>
          <w:rFonts w:hint="cs"/>
          <w:rtl/>
        </w:rPr>
        <w:t>ل</w:t>
      </w:r>
      <w:r>
        <w:rPr>
          <w:rtl/>
        </w:rPr>
        <w:t xml:space="preserve">نشاط </w:t>
      </w:r>
      <w:r w:rsidR="00A100D5">
        <w:rPr>
          <w:rFonts w:hint="cs"/>
          <w:rtl/>
        </w:rPr>
        <w:t>لجنة المعايير</w:t>
      </w:r>
      <w:r>
        <w:rPr>
          <w:rtl/>
        </w:rPr>
        <w:t xml:space="preserve"> الآن وفي المستقبل القريب): </w:t>
      </w:r>
      <w:r>
        <w:t>3</w:t>
      </w:r>
      <w:r>
        <w:rPr>
          <w:rtl/>
        </w:rPr>
        <w:t xml:space="preserve"> و</w:t>
      </w:r>
      <w:r>
        <w:t>7</w:t>
      </w:r>
      <w:r>
        <w:rPr>
          <w:rtl/>
        </w:rPr>
        <w:t xml:space="preserve"> و</w:t>
      </w:r>
      <w:r>
        <w:t>8</w:t>
      </w:r>
      <w:r>
        <w:rPr>
          <w:rtl/>
        </w:rPr>
        <w:t xml:space="preserve"> و</w:t>
      </w:r>
      <w:r>
        <w:t>24</w:t>
      </w:r>
      <w:r>
        <w:rPr>
          <w:rtl/>
        </w:rPr>
        <w:t xml:space="preserve"> و</w:t>
      </w:r>
      <w:r>
        <w:t>25</w:t>
      </w:r>
      <w:r>
        <w:rPr>
          <w:rtl/>
        </w:rPr>
        <w:t xml:space="preserve"> و</w:t>
      </w:r>
      <w:r>
        <w:t>29</w:t>
      </w:r>
      <w:r>
        <w:rPr>
          <w:rtl/>
        </w:rPr>
        <w:t xml:space="preserve"> و</w:t>
      </w:r>
      <w:r>
        <w:t>30</w:t>
      </w:r>
      <w:r>
        <w:rPr>
          <w:rtl/>
        </w:rPr>
        <w:t xml:space="preserve"> و</w:t>
      </w:r>
      <w:r>
        <w:t>31</w:t>
      </w:r>
      <w:r>
        <w:rPr>
          <w:rtl/>
        </w:rPr>
        <w:t xml:space="preserve"> و</w:t>
      </w:r>
      <w:r>
        <w:t>34</w:t>
      </w:r>
      <w:r>
        <w:rPr>
          <w:rtl/>
        </w:rPr>
        <w:t xml:space="preserve"> و40. (انظر الفقرة 4 من الوثيقة </w:t>
      </w:r>
      <w:r w:rsidR="00A100D5" w:rsidRPr="00A100D5">
        <w:t>CWS/8/13</w:t>
      </w:r>
      <w:r>
        <w:rPr>
          <w:rtl/>
        </w:rPr>
        <w:t>)</w:t>
      </w:r>
      <w:r w:rsidR="004C43C6">
        <w:rPr>
          <w:rFonts w:hint="cs"/>
          <w:rtl/>
        </w:rPr>
        <w:t>.</w:t>
      </w:r>
    </w:p>
    <w:p w14:paraId="63A85166" w14:textId="4D63F566" w:rsidR="00021144" w:rsidRDefault="004C43C6" w:rsidP="00021144">
      <w:pPr>
        <w:pStyle w:val="ONUMA"/>
      </w:pPr>
      <w:r>
        <w:rPr>
          <w:rFonts w:hint="cs"/>
          <w:rtl/>
        </w:rPr>
        <w:t>و</w:t>
      </w:r>
      <w:r w:rsidR="00021144">
        <w:rPr>
          <w:rtl/>
        </w:rPr>
        <w:t>فيما يتعلق بأولوية التوصيات الأربعين</w:t>
      </w:r>
      <w:r>
        <w:rPr>
          <w:rtl/>
        </w:rPr>
        <w:t>،</w:t>
      </w:r>
      <w:r w:rsidR="00021144">
        <w:rPr>
          <w:rtl/>
        </w:rPr>
        <w:t xml:space="preserve"> </w:t>
      </w:r>
      <w:r w:rsidR="006F26FB">
        <w:rPr>
          <w:rFonts w:hint="cs"/>
          <w:rtl/>
        </w:rPr>
        <w:t>و</w:t>
      </w:r>
      <w:r>
        <w:rPr>
          <w:rFonts w:hint="cs"/>
          <w:rtl/>
        </w:rPr>
        <w:t>أخذا في الاعتبار</w:t>
      </w:r>
      <w:r w:rsidR="00021144">
        <w:rPr>
          <w:rtl/>
        </w:rPr>
        <w:t xml:space="preserve"> نتائج الدراسة الاستقصائية التي أجريت داخل فرقة العمل</w:t>
      </w:r>
      <w:r>
        <w:rPr>
          <w:rtl/>
        </w:rPr>
        <w:t>،</w:t>
      </w:r>
      <w:r w:rsidR="00021144">
        <w:rPr>
          <w:rtl/>
        </w:rPr>
        <w:t xml:space="preserve"> أبلغ المكتب الدولي</w:t>
      </w:r>
      <w:r>
        <w:rPr>
          <w:rtl/>
        </w:rPr>
        <w:t>،</w:t>
      </w:r>
      <w:r w:rsidR="00021144">
        <w:rPr>
          <w:rtl/>
        </w:rPr>
        <w:t xml:space="preserve"> بصفته </w:t>
      </w:r>
      <w:r w:rsidR="006F26FB">
        <w:rPr>
          <w:rFonts w:hint="cs"/>
          <w:rtl/>
        </w:rPr>
        <w:t>المشرف على</w:t>
      </w:r>
      <w:r w:rsidR="00021144">
        <w:rPr>
          <w:rtl/>
        </w:rPr>
        <w:t xml:space="preserve"> فرقة العمل</w:t>
      </w:r>
      <w:r>
        <w:rPr>
          <w:rtl/>
        </w:rPr>
        <w:t>،</w:t>
      </w:r>
      <w:r w:rsidR="00021144">
        <w:rPr>
          <w:rtl/>
        </w:rPr>
        <w:t xml:space="preserve"> عن التوصيات التالية</w:t>
      </w:r>
      <w:r>
        <w:rPr>
          <w:rtl/>
        </w:rPr>
        <w:t>،</w:t>
      </w:r>
      <w:r w:rsidR="00021144">
        <w:rPr>
          <w:rtl/>
        </w:rPr>
        <w:t xml:space="preserve"> التي تنتمي إلى المجموعة 1 (التوصيات المتعلقة </w:t>
      </w:r>
      <w:r>
        <w:rPr>
          <w:rFonts w:hint="cs"/>
          <w:rtl/>
        </w:rPr>
        <w:t>بمهام لجنة</w:t>
      </w:r>
      <w:r w:rsidR="00021144">
        <w:rPr>
          <w:rtl/>
        </w:rPr>
        <w:t xml:space="preserve"> </w:t>
      </w:r>
      <w:r>
        <w:rPr>
          <w:rFonts w:hint="cs"/>
          <w:rtl/>
        </w:rPr>
        <w:t>ال</w:t>
      </w:r>
      <w:r w:rsidR="00021144">
        <w:rPr>
          <w:rtl/>
        </w:rPr>
        <w:t>معايير)</w:t>
      </w:r>
      <w:r>
        <w:rPr>
          <w:rtl/>
        </w:rPr>
        <w:t>،</w:t>
      </w:r>
      <w:r w:rsidR="00021144">
        <w:rPr>
          <w:rtl/>
        </w:rPr>
        <w:t xml:space="preserve"> كأولوية:</w:t>
      </w:r>
    </w:p>
    <w:p w14:paraId="49E66E57" w14:textId="0E37BC39" w:rsidR="006F26FB" w:rsidRDefault="006F26FB" w:rsidP="006F26FB">
      <w:pPr>
        <w:pStyle w:val="ONUMA"/>
        <w:numPr>
          <w:ilvl w:val="0"/>
          <w:numId w:val="43"/>
        </w:numPr>
      </w:pPr>
      <w:r>
        <w:rPr>
          <w:rFonts w:hint="cs"/>
          <w:rtl/>
        </w:rPr>
        <w:lastRenderedPageBreak/>
        <w:t>ت</w:t>
      </w:r>
      <w:r>
        <w:rPr>
          <w:rtl/>
        </w:rPr>
        <w:t>بادل المعلومات بشأن تكنولوجيات البحث الناشئة، لا سيما البحث في الصور، وأدوات التصنيف وأدوات اللغة (التوصية 9)؛</w:t>
      </w:r>
    </w:p>
    <w:p w14:paraId="009F1B78" w14:textId="77777777" w:rsidR="006F26FB" w:rsidRDefault="006F26FB" w:rsidP="006F26FB">
      <w:pPr>
        <w:pStyle w:val="ONUMA"/>
        <w:numPr>
          <w:ilvl w:val="0"/>
          <w:numId w:val="43"/>
        </w:numPr>
      </w:pPr>
      <w:r>
        <w:rPr>
          <w:rtl/>
        </w:rPr>
        <w:t xml:space="preserve">وأداة برمجية موحدة للتحويل إلى نسق </w:t>
      </w:r>
      <w:r>
        <w:t>XML</w:t>
      </w:r>
      <w:r>
        <w:rPr>
          <w:rtl/>
        </w:rPr>
        <w:t xml:space="preserve">، مثل أداة تحويل نسق </w:t>
      </w:r>
      <w:r>
        <w:t>DOCX</w:t>
      </w:r>
      <w:r>
        <w:rPr>
          <w:rtl/>
        </w:rPr>
        <w:t xml:space="preserve"> (التوصيتان 18 و4)؛</w:t>
      </w:r>
    </w:p>
    <w:p w14:paraId="1DE494E0" w14:textId="77777777" w:rsidR="006F26FB" w:rsidRDefault="006F26FB" w:rsidP="006F26FB">
      <w:pPr>
        <w:pStyle w:val="ONUMA"/>
        <w:numPr>
          <w:ilvl w:val="0"/>
          <w:numId w:val="43"/>
        </w:numPr>
      </w:pPr>
      <w:r>
        <w:rPr>
          <w:rtl/>
        </w:rPr>
        <w:t>وإعادة التصميم والتحول الرقمي (التوصية 6)؛</w:t>
      </w:r>
    </w:p>
    <w:p w14:paraId="0211FF5E" w14:textId="77777777" w:rsidR="006F26FB" w:rsidRDefault="006F26FB" w:rsidP="006F26FB">
      <w:pPr>
        <w:pStyle w:val="ONUMA"/>
        <w:numPr>
          <w:ilvl w:val="0"/>
          <w:numId w:val="43"/>
        </w:numPr>
      </w:pPr>
      <w:r>
        <w:rPr>
          <w:rtl/>
        </w:rPr>
        <w:t>وتقديم مكاتب الملكية الفكرية ملف إدارتها أو معلوماتها إلى المكتب الدولي (التوصية 23)؛</w:t>
      </w:r>
    </w:p>
    <w:p w14:paraId="172892AA" w14:textId="77777777" w:rsidR="006F26FB" w:rsidRDefault="006F26FB" w:rsidP="006F26FB">
      <w:pPr>
        <w:pStyle w:val="ONUMA"/>
        <w:numPr>
          <w:ilvl w:val="0"/>
          <w:numId w:val="43"/>
        </w:numPr>
      </w:pPr>
      <w:r>
        <w:rPr>
          <w:rtl/>
        </w:rPr>
        <w:t>وخدمات الإنترنت من خلال واجهات التطبيق البرمجية التي تيسر قابلية التشغيل البيني للأنظمة، بما في ذلك الأنظمة التي تطورها جهات أخرى تقدم خدمات الحلول (التوصية 39)؛</w:t>
      </w:r>
    </w:p>
    <w:p w14:paraId="36CA2604" w14:textId="77777777" w:rsidR="006F26FB" w:rsidRDefault="006F26FB" w:rsidP="006F26FB">
      <w:pPr>
        <w:pStyle w:val="ONUMA"/>
        <w:numPr>
          <w:ilvl w:val="0"/>
          <w:numId w:val="43"/>
        </w:numPr>
      </w:pPr>
      <w:r>
        <w:rPr>
          <w:rtl/>
        </w:rPr>
        <w:t>وتطوير نموذج تجريبي لسجل موزَّع للملكية الفكرية، وبحث إمكانات استخدام تكنولوجيات سلاسل الكتل، بما في ذلك لتسجيل الملكية الفكرية وبيانات الأولوية، وبحث الإمكانات القانونية والتقنية لتحديد أسر البراءات (التوصيتان 12 و15)؛</w:t>
      </w:r>
    </w:p>
    <w:p w14:paraId="0ECA203A" w14:textId="0B3C7CC6" w:rsidR="006F26FB" w:rsidRDefault="006F26FB" w:rsidP="006F26FB">
      <w:pPr>
        <w:pStyle w:val="ONUMA"/>
        <w:numPr>
          <w:ilvl w:val="0"/>
          <w:numId w:val="43"/>
        </w:numPr>
      </w:pPr>
      <w:r>
        <w:rPr>
          <w:rtl/>
        </w:rPr>
        <w:t>وبحث أساليب محسنة لإدماج الأنظمة المركزية مع الأنظمة الدولية، وإنشاء نموذج خدمة مركزية بواجهات برمجة تطبيقات مفتوحة وموحدة، من أجل تعميم البيانات وتبادلها بين مكاتب الملكية الفكرية والأنظمة الإقليمية/الدولية للملكية الفكرية (التوصية 38).</w:t>
      </w:r>
    </w:p>
    <w:p w14:paraId="2A8B75E6" w14:textId="21FE55B4" w:rsidR="006F26FB" w:rsidRDefault="006F26FB" w:rsidP="006F26FB">
      <w:pPr>
        <w:pStyle w:val="ONUMA"/>
        <w:numPr>
          <w:ilvl w:val="0"/>
          <w:numId w:val="0"/>
        </w:numPr>
        <w:rPr>
          <w:rtl/>
        </w:rPr>
      </w:pPr>
      <w:r>
        <w:rPr>
          <w:rFonts w:hint="cs"/>
          <w:rtl/>
        </w:rPr>
        <w:t xml:space="preserve">(انظر الفقرة 6 من الوثيقة </w:t>
      </w:r>
      <w:r w:rsidRPr="006F26FB">
        <w:t>CWS/8/13</w:t>
      </w:r>
      <w:r>
        <w:rPr>
          <w:rFonts w:hint="cs"/>
          <w:rtl/>
        </w:rPr>
        <w:t>).</w:t>
      </w:r>
    </w:p>
    <w:p w14:paraId="352AAAF1" w14:textId="20305F1B" w:rsidR="007911D1" w:rsidRDefault="007911D1" w:rsidP="007911D1">
      <w:pPr>
        <w:pStyle w:val="ONUMA"/>
      </w:pPr>
      <w:r w:rsidRPr="007911D1">
        <w:rPr>
          <w:rtl/>
        </w:rPr>
        <w:t xml:space="preserve">كما </w:t>
      </w:r>
      <w:r>
        <w:rPr>
          <w:rFonts w:hint="cs"/>
          <w:rtl/>
        </w:rPr>
        <w:t>أحاطت</w:t>
      </w:r>
      <w:r w:rsidRPr="007911D1">
        <w:rPr>
          <w:rtl/>
        </w:rPr>
        <w:t xml:space="preserve"> لجنة المعايير </w:t>
      </w:r>
      <w:r>
        <w:rPr>
          <w:rFonts w:hint="cs"/>
          <w:rtl/>
        </w:rPr>
        <w:t>علما ب</w:t>
      </w:r>
      <w:r w:rsidRPr="007911D1">
        <w:rPr>
          <w:rtl/>
        </w:rPr>
        <w:t xml:space="preserve">أن </w:t>
      </w:r>
      <w:r w:rsidR="00F41786" w:rsidRPr="00F41786">
        <w:rPr>
          <w:rtl/>
        </w:rPr>
        <w:t xml:space="preserve">الدراسة الاستقصائية التي أجريت داخل فرقة العمل </w:t>
      </w:r>
      <w:r w:rsidRPr="007911D1">
        <w:rPr>
          <w:rtl/>
        </w:rPr>
        <w:t xml:space="preserve">لم </w:t>
      </w:r>
      <w:r w:rsidR="00C742CC">
        <w:rPr>
          <w:rFonts w:hint="cs"/>
          <w:rtl/>
        </w:rPr>
        <w:t>تتلق</w:t>
      </w:r>
      <w:r w:rsidRPr="007911D1">
        <w:rPr>
          <w:rtl/>
        </w:rPr>
        <w:t xml:space="preserve"> سوى ردود من سبعة أعضاء </w:t>
      </w:r>
      <w:r>
        <w:rPr>
          <w:rFonts w:hint="cs"/>
          <w:rtl/>
        </w:rPr>
        <w:t>في</w:t>
      </w:r>
      <w:r w:rsidRPr="007911D1">
        <w:rPr>
          <w:rtl/>
        </w:rPr>
        <w:t xml:space="preserve"> فرقة العمل. </w:t>
      </w:r>
      <w:r>
        <w:rPr>
          <w:rFonts w:hint="cs"/>
          <w:rtl/>
        </w:rPr>
        <w:t>و</w:t>
      </w:r>
      <w:r w:rsidRPr="007911D1">
        <w:rPr>
          <w:rtl/>
        </w:rPr>
        <w:t xml:space="preserve">من أجل جمع الآراء من جمهور أوسع، طلبت لجنة المعايير من المكتب الدولي أن يدعو كل المكاتب إلى </w:t>
      </w:r>
      <w:r w:rsidR="008C2A2F">
        <w:rPr>
          <w:rFonts w:hint="cs"/>
          <w:rtl/>
        </w:rPr>
        <w:t>الرد على</w:t>
      </w:r>
      <w:r w:rsidRPr="007911D1">
        <w:rPr>
          <w:rtl/>
        </w:rPr>
        <w:t xml:space="preserve"> </w:t>
      </w:r>
      <w:r w:rsidR="008C2A2F">
        <w:rPr>
          <w:rFonts w:hint="cs"/>
          <w:rtl/>
        </w:rPr>
        <w:t>ا</w:t>
      </w:r>
      <w:r w:rsidRPr="007911D1">
        <w:rPr>
          <w:rtl/>
        </w:rPr>
        <w:t xml:space="preserve">لدراسة الاستقصائية بشأن </w:t>
      </w:r>
      <w:r>
        <w:rPr>
          <w:rFonts w:hint="cs"/>
          <w:rtl/>
        </w:rPr>
        <w:t>أولوية</w:t>
      </w:r>
      <w:r w:rsidRPr="007911D1">
        <w:rPr>
          <w:rtl/>
        </w:rPr>
        <w:t xml:space="preserve"> التوصيات الأربعين، وأن </w:t>
      </w:r>
      <w:r>
        <w:rPr>
          <w:rFonts w:hint="cs"/>
          <w:rtl/>
        </w:rPr>
        <w:t>يعرض</w:t>
      </w:r>
      <w:r w:rsidRPr="007911D1">
        <w:rPr>
          <w:rtl/>
        </w:rPr>
        <w:t xml:space="preserve"> نتائج تلك الدراسة في دورتها التاسعة.</w:t>
      </w:r>
    </w:p>
    <w:p w14:paraId="448AF02E" w14:textId="7C357F08" w:rsidR="00B831AA" w:rsidRPr="00B831AA" w:rsidRDefault="00D123E2" w:rsidP="00B831AA">
      <w:pPr>
        <w:pStyle w:val="Heading2"/>
        <w:rPr>
          <w:i/>
          <w:iCs w:val="0"/>
          <w:lang w:eastAsia="en-US"/>
        </w:rPr>
      </w:pPr>
      <w:r>
        <w:rPr>
          <w:rFonts w:hint="cs"/>
          <w:i/>
          <w:iCs w:val="0"/>
          <w:rtl/>
          <w:lang w:eastAsia="en-US"/>
        </w:rPr>
        <w:t>نتائج الدراسة الاستقصائية</w:t>
      </w:r>
    </w:p>
    <w:p w14:paraId="22AEC08A" w14:textId="1B231FE5" w:rsidR="002201FA" w:rsidRDefault="002201FA" w:rsidP="002201FA">
      <w:pPr>
        <w:pStyle w:val="ONUMA"/>
      </w:pPr>
      <w:r w:rsidRPr="002201FA">
        <w:rPr>
          <w:rtl/>
        </w:rPr>
        <w:t xml:space="preserve">أصدرت الأمانة </w:t>
      </w:r>
      <w:r>
        <w:rPr>
          <w:rtl/>
        </w:rPr>
        <w:t>في يونيو 2021</w:t>
      </w:r>
      <w:r>
        <w:rPr>
          <w:rFonts w:hint="cs"/>
          <w:rtl/>
        </w:rPr>
        <w:t xml:space="preserve"> </w:t>
      </w:r>
      <w:r>
        <w:rPr>
          <w:rtl/>
        </w:rPr>
        <w:t xml:space="preserve">التعميم </w:t>
      </w:r>
      <w:r>
        <w:t>C.CWS.151</w:t>
      </w:r>
      <w:r>
        <w:rPr>
          <w:rtl/>
        </w:rPr>
        <w:t xml:space="preserve"> الذي يدعو مكاتب </w:t>
      </w:r>
      <w:r>
        <w:rPr>
          <w:rFonts w:hint="cs"/>
          <w:rtl/>
        </w:rPr>
        <w:t>الملكية الفكرية</w:t>
      </w:r>
      <w:r>
        <w:rPr>
          <w:rtl/>
        </w:rPr>
        <w:t xml:space="preserve"> إلى المشاركة في دراسة استقصائية حول </w:t>
      </w:r>
      <w:r w:rsidRPr="002201FA">
        <w:rPr>
          <w:rtl/>
        </w:rPr>
        <w:t>أولوية التوصيات الأربعين بشأن استراتيجيات تكنولوجيا المعلومات</w:t>
      </w:r>
      <w:r>
        <w:rPr>
          <w:rtl/>
        </w:rPr>
        <w:t xml:space="preserve">، </w:t>
      </w:r>
      <w:r w:rsidR="00767AF9">
        <w:rPr>
          <w:rFonts w:hint="cs"/>
          <w:rtl/>
        </w:rPr>
        <w:t>واستجاب</w:t>
      </w:r>
      <w:r>
        <w:rPr>
          <w:rtl/>
        </w:rPr>
        <w:t xml:space="preserve"> 27 مكتبًا </w:t>
      </w:r>
      <w:r w:rsidR="00767AF9">
        <w:rPr>
          <w:rFonts w:hint="cs"/>
          <w:rtl/>
        </w:rPr>
        <w:t>ل</w:t>
      </w:r>
      <w:r w:rsidR="003B4AE4">
        <w:rPr>
          <w:rFonts w:hint="cs"/>
          <w:rtl/>
        </w:rPr>
        <w:t>تلك الدراسة</w:t>
      </w:r>
      <w:r>
        <w:rPr>
          <w:rtl/>
        </w:rPr>
        <w:t xml:space="preserve">. </w:t>
      </w:r>
      <w:r w:rsidR="00767AF9">
        <w:rPr>
          <w:rFonts w:hint="cs"/>
          <w:rtl/>
        </w:rPr>
        <w:t>و</w:t>
      </w:r>
      <w:r>
        <w:rPr>
          <w:rtl/>
        </w:rPr>
        <w:t>وردت ردود من 22 مكتبا من مكاتب الملكية الفكرية للدول الأعضاء التالية: أستراليا</w:t>
      </w:r>
      <w:r w:rsidR="00767AF9">
        <w:rPr>
          <w:rtl/>
        </w:rPr>
        <w:t xml:space="preserve"> و</w:t>
      </w:r>
      <w:r>
        <w:rPr>
          <w:rtl/>
        </w:rPr>
        <w:t>البحرين</w:t>
      </w:r>
      <w:r w:rsidR="00767AF9">
        <w:rPr>
          <w:rtl/>
        </w:rPr>
        <w:t xml:space="preserve"> و</w:t>
      </w:r>
      <w:r>
        <w:rPr>
          <w:rtl/>
        </w:rPr>
        <w:t>البوسنة والهرسك</w:t>
      </w:r>
      <w:r w:rsidR="00767AF9">
        <w:rPr>
          <w:rtl/>
        </w:rPr>
        <w:t xml:space="preserve"> و</w:t>
      </w:r>
      <w:r>
        <w:rPr>
          <w:rtl/>
        </w:rPr>
        <w:t>كندا</w:t>
      </w:r>
      <w:r w:rsidR="00767AF9">
        <w:rPr>
          <w:rtl/>
        </w:rPr>
        <w:t xml:space="preserve"> و</w:t>
      </w:r>
      <w:r>
        <w:rPr>
          <w:rtl/>
        </w:rPr>
        <w:t>شيلي</w:t>
      </w:r>
      <w:r w:rsidR="00767AF9">
        <w:rPr>
          <w:rtl/>
        </w:rPr>
        <w:t xml:space="preserve"> و</w:t>
      </w:r>
      <w:r>
        <w:rPr>
          <w:rtl/>
        </w:rPr>
        <w:t>الجمهورية التشيكية</w:t>
      </w:r>
      <w:r w:rsidR="00767AF9">
        <w:rPr>
          <w:rtl/>
        </w:rPr>
        <w:t xml:space="preserve"> و</w:t>
      </w:r>
      <w:r>
        <w:rPr>
          <w:rtl/>
        </w:rPr>
        <w:t>إكوادور</w:t>
      </w:r>
      <w:r w:rsidR="00767AF9">
        <w:rPr>
          <w:rtl/>
        </w:rPr>
        <w:t xml:space="preserve"> و</w:t>
      </w:r>
      <w:r>
        <w:rPr>
          <w:rtl/>
        </w:rPr>
        <w:t>إستونيا</w:t>
      </w:r>
      <w:r w:rsidR="00767AF9">
        <w:rPr>
          <w:rtl/>
        </w:rPr>
        <w:t xml:space="preserve"> و</w:t>
      </w:r>
      <w:r>
        <w:rPr>
          <w:rtl/>
        </w:rPr>
        <w:t>هنغاريا</w:t>
      </w:r>
      <w:r w:rsidR="00767AF9">
        <w:rPr>
          <w:rtl/>
        </w:rPr>
        <w:t xml:space="preserve"> و</w:t>
      </w:r>
      <w:r>
        <w:rPr>
          <w:rtl/>
        </w:rPr>
        <w:t>إيطاليا</w:t>
      </w:r>
      <w:r w:rsidR="00767AF9">
        <w:rPr>
          <w:rtl/>
        </w:rPr>
        <w:t xml:space="preserve"> و</w:t>
      </w:r>
      <w:r>
        <w:rPr>
          <w:rtl/>
        </w:rPr>
        <w:t>اليابان</w:t>
      </w:r>
      <w:r w:rsidR="00767AF9">
        <w:rPr>
          <w:rtl/>
        </w:rPr>
        <w:t xml:space="preserve"> و</w:t>
      </w:r>
      <w:r>
        <w:rPr>
          <w:rtl/>
        </w:rPr>
        <w:t>المكسيك</w:t>
      </w:r>
      <w:r w:rsidR="00767AF9">
        <w:rPr>
          <w:rtl/>
        </w:rPr>
        <w:t xml:space="preserve"> و</w:t>
      </w:r>
      <w:r>
        <w:rPr>
          <w:rtl/>
        </w:rPr>
        <w:t>نيوزيلندا</w:t>
      </w:r>
      <w:r w:rsidR="00767AF9">
        <w:rPr>
          <w:rtl/>
        </w:rPr>
        <w:t xml:space="preserve"> و</w:t>
      </w:r>
      <w:r>
        <w:rPr>
          <w:rtl/>
        </w:rPr>
        <w:t>النرويج</w:t>
      </w:r>
      <w:r w:rsidR="00767AF9">
        <w:rPr>
          <w:rtl/>
        </w:rPr>
        <w:t xml:space="preserve"> و</w:t>
      </w:r>
      <w:r>
        <w:rPr>
          <w:rtl/>
        </w:rPr>
        <w:t>الاتحاد الروسي</w:t>
      </w:r>
      <w:r w:rsidR="00767AF9">
        <w:rPr>
          <w:rtl/>
        </w:rPr>
        <w:t xml:space="preserve"> و</w:t>
      </w:r>
      <w:r>
        <w:rPr>
          <w:rtl/>
        </w:rPr>
        <w:t>سلوفاكيا وإسبانيا والسويد والمملكة المتحدة والولايات المتحدة الأمريكية وأوروغواي وأوزبكستان؛ و</w:t>
      </w:r>
      <w:r w:rsidR="00CF21E9">
        <w:rPr>
          <w:rFonts w:hint="cs"/>
          <w:rtl/>
        </w:rPr>
        <w:t xml:space="preserve">من </w:t>
      </w:r>
      <w:r>
        <w:rPr>
          <w:rtl/>
        </w:rPr>
        <w:t xml:space="preserve">المكاتب الإقليمية الأربعة التالية: المنظمة الإقليمية الأفريقية للملكية الفكرية، </w:t>
      </w:r>
      <w:r w:rsidR="00CF21E9">
        <w:rPr>
          <w:rFonts w:hint="cs"/>
          <w:rtl/>
        </w:rPr>
        <w:t>و</w:t>
      </w:r>
      <w:r>
        <w:rPr>
          <w:rtl/>
        </w:rPr>
        <w:t xml:space="preserve">المكتب الأوروبي للبراءات، </w:t>
      </w:r>
      <w:r w:rsidR="00CF21E9">
        <w:rPr>
          <w:rFonts w:hint="cs"/>
          <w:rtl/>
        </w:rPr>
        <w:t>و</w:t>
      </w:r>
      <w:r>
        <w:rPr>
          <w:rtl/>
        </w:rPr>
        <w:t xml:space="preserve">مكتب الاتحاد الأوروبي للملكية الفكرية، </w:t>
      </w:r>
      <w:r w:rsidR="00684D88">
        <w:rPr>
          <w:rFonts w:hint="cs"/>
          <w:rtl/>
        </w:rPr>
        <w:t>و</w:t>
      </w:r>
      <w:r w:rsidR="00684D88" w:rsidRPr="00684D88">
        <w:rPr>
          <w:rtl/>
        </w:rPr>
        <w:t>مكتب براءات الاختراع لمجلس التعاون لدول الخليج العربية</w:t>
      </w:r>
      <w:r>
        <w:rPr>
          <w:rtl/>
        </w:rPr>
        <w:t xml:space="preserve">؛ والمكتب الدولي. </w:t>
      </w:r>
      <w:r w:rsidR="00076504">
        <w:rPr>
          <w:rFonts w:hint="cs"/>
          <w:rtl/>
        </w:rPr>
        <w:t xml:space="preserve">وتتاح </w:t>
      </w:r>
      <w:r>
        <w:rPr>
          <w:rtl/>
        </w:rPr>
        <w:t>الردود الكاملة على الاستبيان في المرفق الأول لهذه الوثيقة.</w:t>
      </w:r>
    </w:p>
    <w:p w14:paraId="1D5E6150" w14:textId="3B6DC833" w:rsidR="007541BE" w:rsidRDefault="00211FC5" w:rsidP="002201FA">
      <w:pPr>
        <w:pStyle w:val="ONUMA"/>
      </w:pPr>
      <w:r>
        <w:rPr>
          <w:rFonts w:hint="cs"/>
          <w:rtl/>
        </w:rPr>
        <w:t>و</w:t>
      </w:r>
      <w:r w:rsidR="002201FA">
        <w:rPr>
          <w:rtl/>
        </w:rPr>
        <w:t xml:space="preserve">يوضح الجدول التالي عدد الأصوات التي </w:t>
      </w:r>
      <w:r>
        <w:rPr>
          <w:rFonts w:hint="cs"/>
          <w:rtl/>
        </w:rPr>
        <w:t>تلقتها كل</w:t>
      </w:r>
      <w:r w:rsidR="002201FA">
        <w:rPr>
          <w:rtl/>
        </w:rPr>
        <w:t xml:space="preserve"> توصية، مرتبة حسب </w:t>
      </w:r>
      <w:r w:rsidR="00F033A4">
        <w:rPr>
          <w:rFonts w:hint="cs"/>
          <w:rtl/>
        </w:rPr>
        <w:t>سلم</w:t>
      </w:r>
      <w:r w:rsidR="002201FA">
        <w:rPr>
          <w:rtl/>
        </w:rPr>
        <w:t xml:space="preserve"> </w:t>
      </w:r>
      <w:proofErr w:type="spellStart"/>
      <w:r w:rsidR="002201FA">
        <w:t>Borda</w:t>
      </w:r>
      <w:proofErr w:type="spellEnd"/>
      <w:r w:rsidR="002201FA">
        <w:rPr>
          <w:rtl/>
        </w:rPr>
        <w:t xml:space="preserve"> ومقسمة إلى فئات كما هو موضح أدناه (التوصيات </w:t>
      </w:r>
      <w:r>
        <w:rPr>
          <w:rFonts w:hint="cs"/>
          <w:rtl/>
        </w:rPr>
        <w:t>المظللة</w:t>
      </w:r>
      <w:r w:rsidR="002201FA">
        <w:rPr>
          <w:rtl/>
        </w:rPr>
        <w:t xml:space="preserve"> باللون البرتقالي مصنفة في المجموعة 3 المذكورة في الفقرة 3 أعلاه وتلك </w:t>
      </w:r>
      <w:r>
        <w:rPr>
          <w:rFonts w:hint="cs"/>
          <w:rtl/>
        </w:rPr>
        <w:t>المظللة</w:t>
      </w:r>
      <w:r w:rsidR="002201FA">
        <w:rPr>
          <w:rtl/>
        </w:rPr>
        <w:t xml:space="preserve"> باللون الأخضر تعطي</w:t>
      </w:r>
      <w:r>
        <w:rPr>
          <w:rFonts w:hint="cs"/>
          <w:rtl/>
        </w:rPr>
        <w:t>ها فرقة العمل</w:t>
      </w:r>
      <w:r w:rsidR="002201FA">
        <w:rPr>
          <w:rtl/>
        </w:rPr>
        <w:t xml:space="preserve"> الأولوية على النحو المشار إليه في الفقرة 4 أعلاه):</w:t>
      </w:r>
    </w:p>
    <w:tbl>
      <w:tblPr>
        <w:bidiVisual/>
        <w:tblW w:w="7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bottom w:w="29" w:type="dxa"/>
          <w:right w:w="144" w:type="dxa"/>
        </w:tblCellMar>
        <w:tblLook w:val="04A0" w:firstRow="1" w:lastRow="0" w:firstColumn="1" w:lastColumn="0" w:noHBand="0" w:noVBand="1"/>
      </w:tblPr>
      <w:tblGrid>
        <w:gridCol w:w="1967"/>
        <w:gridCol w:w="960"/>
        <w:gridCol w:w="1061"/>
        <w:gridCol w:w="960"/>
        <w:gridCol w:w="1300"/>
        <w:gridCol w:w="1547"/>
      </w:tblGrid>
      <w:tr w:rsidR="00211FC5" w:rsidRPr="00211FC5" w14:paraId="6F236622" w14:textId="77777777" w:rsidTr="00211FC5">
        <w:trPr>
          <w:trHeight w:val="288"/>
        </w:trPr>
        <w:tc>
          <w:tcPr>
            <w:tcW w:w="1967" w:type="dxa"/>
            <w:tcBorders>
              <w:bottom w:val="single" w:sz="12" w:space="0" w:color="auto"/>
            </w:tcBorders>
            <w:shd w:val="clear" w:color="auto" w:fill="D9D9D9" w:themeFill="background1" w:themeFillShade="D9"/>
            <w:noWrap/>
            <w:hideMark/>
          </w:tcPr>
          <w:p w14:paraId="77329CB5" w14:textId="0E027979" w:rsidR="00211FC5" w:rsidRPr="00211FC5" w:rsidRDefault="00211FC5" w:rsidP="00211FC5">
            <w:pPr>
              <w:spacing w:before="120" w:after="120"/>
              <w:jc w:val="center"/>
              <w:rPr>
                <w:rFonts w:asciiTheme="minorHAnsi" w:eastAsia="Times New Roman" w:hAnsiTheme="minorHAnsi" w:cstheme="minorHAnsi"/>
                <w:b/>
                <w:bCs/>
                <w:color w:val="000000"/>
                <w:lang w:eastAsia="en-US" w:bidi="ar-EG"/>
              </w:rPr>
            </w:pPr>
            <w:r>
              <w:rPr>
                <w:rFonts w:asciiTheme="minorHAnsi" w:eastAsia="Times New Roman" w:hAnsiTheme="minorHAnsi" w:cstheme="minorHAnsi" w:hint="cs"/>
                <w:b/>
                <w:bCs/>
                <w:color w:val="000000"/>
                <w:rtl/>
                <w:lang w:eastAsia="en-US" w:bidi="ar-EG"/>
              </w:rPr>
              <w:t>رقم التوصية</w:t>
            </w:r>
          </w:p>
        </w:tc>
        <w:tc>
          <w:tcPr>
            <w:tcW w:w="960" w:type="dxa"/>
            <w:tcBorders>
              <w:bottom w:val="single" w:sz="12" w:space="0" w:color="auto"/>
            </w:tcBorders>
            <w:shd w:val="clear" w:color="auto" w:fill="D9D9D9" w:themeFill="background1" w:themeFillShade="D9"/>
            <w:noWrap/>
            <w:hideMark/>
          </w:tcPr>
          <w:p w14:paraId="6BB2C8F5" w14:textId="6DB5060C" w:rsidR="00211FC5" w:rsidRPr="00211FC5" w:rsidRDefault="00211FC5" w:rsidP="00211FC5">
            <w:pPr>
              <w:spacing w:before="120" w:after="120"/>
              <w:jc w:val="center"/>
              <w:rPr>
                <w:rFonts w:asciiTheme="minorHAnsi" w:eastAsia="Times New Roman" w:hAnsiTheme="minorHAnsi" w:cstheme="minorHAnsi"/>
                <w:b/>
                <w:bCs/>
                <w:color w:val="000000"/>
                <w:lang w:eastAsia="en-US"/>
              </w:rPr>
            </w:pPr>
            <w:r>
              <w:rPr>
                <w:rFonts w:asciiTheme="minorHAnsi" w:eastAsia="Times New Roman" w:hAnsiTheme="minorHAnsi" w:cstheme="minorHAnsi" w:hint="cs"/>
                <w:b/>
                <w:bCs/>
                <w:color w:val="000000"/>
                <w:rtl/>
                <w:lang w:eastAsia="en-US"/>
              </w:rPr>
              <w:t>أصوات مرتفعة</w:t>
            </w:r>
          </w:p>
        </w:tc>
        <w:tc>
          <w:tcPr>
            <w:tcW w:w="1061" w:type="dxa"/>
            <w:tcBorders>
              <w:bottom w:val="single" w:sz="12" w:space="0" w:color="auto"/>
            </w:tcBorders>
            <w:shd w:val="clear" w:color="auto" w:fill="D9D9D9" w:themeFill="background1" w:themeFillShade="D9"/>
            <w:noWrap/>
            <w:hideMark/>
          </w:tcPr>
          <w:p w14:paraId="44D44CEC" w14:textId="52C9E112" w:rsidR="00211FC5" w:rsidRPr="00211FC5" w:rsidRDefault="00211FC5" w:rsidP="00211FC5">
            <w:pPr>
              <w:spacing w:before="120" w:after="120"/>
              <w:jc w:val="center"/>
              <w:rPr>
                <w:rFonts w:asciiTheme="minorHAnsi" w:eastAsia="Times New Roman" w:hAnsiTheme="minorHAnsi" w:cstheme="minorHAnsi"/>
                <w:b/>
                <w:bCs/>
                <w:color w:val="000000"/>
                <w:lang w:eastAsia="en-US"/>
              </w:rPr>
            </w:pPr>
            <w:r>
              <w:rPr>
                <w:rFonts w:asciiTheme="minorHAnsi" w:eastAsia="Times New Roman" w:hAnsiTheme="minorHAnsi" w:cstheme="minorHAnsi" w:hint="cs"/>
                <w:b/>
                <w:bCs/>
                <w:color w:val="000000"/>
                <w:rtl/>
                <w:lang w:eastAsia="en-US"/>
              </w:rPr>
              <w:t>أصوات متوسطة</w:t>
            </w:r>
          </w:p>
        </w:tc>
        <w:tc>
          <w:tcPr>
            <w:tcW w:w="960" w:type="dxa"/>
            <w:tcBorders>
              <w:bottom w:val="single" w:sz="12" w:space="0" w:color="auto"/>
            </w:tcBorders>
            <w:shd w:val="clear" w:color="auto" w:fill="D9D9D9" w:themeFill="background1" w:themeFillShade="D9"/>
            <w:noWrap/>
            <w:hideMark/>
          </w:tcPr>
          <w:p w14:paraId="1F97E58F" w14:textId="3AA44101" w:rsidR="00211FC5" w:rsidRPr="00211FC5" w:rsidRDefault="00211FC5" w:rsidP="00211FC5">
            <w:pPr>
              <w:spacing w:before="120" w:after="120"/>
              <w:jc w:val="center"/>
              <w:rPr>
                <w:rFonts w:asciiTheme="minorHAnsi" w:eastAsia="Times New Roman" w:hAnsiTheme="minorHAnsi" w:cstheme="minorHAnsi"/>
                <w:b/>
                <w:bCs/>
                <w:color w:val="000000"/>
                <w:lang w:eastAsia="en-US"/>
              </w:rPr>
            </w:pPr>
            <w:r>
              <w:rPr>
                <w:rFonts w:asciiTheme="minorHAnsi" w:eastAsia="Times New Roman" w:hAnsiTheme="minorHAnsi" w:cstheme="minorHAnsi" w:hint="cs"/>
                <w:b/>
                <w:bCs/>
                <w:color w:val="000000"/>
                <w:rtl/>
                <w:lang w:eastAsia="en-US"/>
              </w:rPr>
              <w:t>أصوات متدنية</w:t>
            </w:r>
          </w:p>
        </w:tc>
        <w:tc>
          <w:tcPr>
            <w:tcW w:w="1300" w:type="dxa"/>
            <w:tcBorders>
              <w:bottom w:val="single" w:sz="12" w:space="0" w:color="auto"/>
            </w:tcBorders>
            <w:shd w:val="clear" w:color="auto" w:fill="D9D9D9" w:themeFill="background1" w:themeFillShade="D9"/>
            <w:noWrap/>
            <w:hideMark/>
          </w:tcPr>
          <w:p w14:paraId="214E610A" w14:textId="5CB78EDF" w:rsidR="00211FC5" w:rsidRPr="00211FC5" w:rsidRDefault="00F033A4" w:rsidP="00211FC5">
            <w:pPr>
              <w:spacing w:before="120" w:after="120"/>
              <w:jc w:val="center"/>
              <w:rPr>
                <w:rFonts w:asciiTheme="minorHAnsi" w:eastAsia="Times New Roman" w:hAnsiTheme="minorHAnsi" w:cstheme="minorHAnsi"/>
                <w:b/>
                <w:bCs/>
                <w:color w:val="000000"/>
                <w:lang w:eastAsia="en-US"/>
              </w:rPr>
            </w:pPr>
            <w:r>
              <w:rPr>
                <w:rFonts w:asciiTheme="minorHAnsi" w:eastAsia="Times New Roman" w:hAnsiTheme="minorHAnsi" w:cstheme="minorHAnsi" w:hint="cs"/>
                <w:b/>
                <w:bCs/>
                <w:color w:val="000000"/>
                <w:rtl/>
                <w:lang w:eastAsia="en-US"/>
              </w:rPr>
              <w:t>سلم</w:t>
            </w:r>
            <w:proofErr w:type="spellStart"/>
            <w:r w:rsidR="00211FC5" w:rsidRPr="00211FC5">
              <w:rPr>
                <w:rFonts w:asciiTheme="minorHAnsi" w:eastAsia="Times New Roman" w:hAnsiTheme="minorHAnsi" w:cstheme="minorHAnsi"/>
                <w:b/>
                <w:bCs/>
                <w:color w:val="000000"/>
                <w:lang w:eastAsia="en-US"/>
              </w:rPr>
              <w:t>Borda</w:t>
            </w:r>
            <w:proofErr w:type="spellEnd"/>
            <w:r w:rsidR="00211FC5" w:rsidRPr="00211FC5">
              <w:rPr>
                <w:rFonts w:asciiTheme="minorHAnsi" w:eastAsia="Times New Roman" w:hAnsiTheme="minorHAnsi" w:cstheme="minorHAnsi"/>
                <w:b/>
                <w:bCs/>
                <w:color w:val="000000"/>
                <w:lang w:eastAsia="en-US"/>
              </w:rPr>
              <w:t xml:space="preserve"> </w:t>
            </w:r>
          </w:p>
        </w:tc>
        <w:tc>
          <w:tcPr>
            <w:tcW w:w="1547" w:type="dxa"/>
            <w:tcBorders>
              <w:bottom w:val="single" w:sz="12" w:space="0" w:color="auto"/>
            </w:tcBorders>
            <w:shd w:val="clear" w:color="auto" w:fill="D9D9D9" w:themeFill="background1" w:themeFillShade="D9"/>
          </w:tcPr>
          <w:p w14:paraId="56ED780D" w14:textId="6ECD4DA4" w:rsidR="00211FC5" w:rsidRPr="00211FC5" w:rsidRDefault="00211FC5" w:rsidP="00211FC5">
            <w:pPr>
              <w:spacing w:before="120" w:after="120"/>
              <w:jc w:val="center"/>
              <w:rPr>
                <w:rFonts w:asciiTheme="minorHAnsi" w:eastAsia="Times New Roman" w:hAnsiTheme="minorHAnsi" w:cstheme="minorHAnsi"/>
                <w:b/>
                <w:bCs/>
                <w:color w:val="000000"/>
                <w:lang w:eastAsia="en-US"/>
              </w:rPr>
            </w:pPr>
            <w:r>
              <w:rPr>
                <w:rFonts w:asciiTheme="minorHAnsi" w:eastAsia="Times New Roman" w:hAnsiTheme="minorHAnsi" w:cstheme="minorHAnsi" w:hint="cs"/>
                <w:b/>
                <w:bCs/>
                <w:color w:val="000000"/>
                <w:rtl/>
                <w:lang w:eastAsia="en-US"/>
              </w:rPr>
              <w:t>الفئة</w:t>
            </w:r>
          </w:p>
        </w:tc>
      </w:tr>
      <w:tr w:rsidR="00211FC5" w:rsidRPr="00211FC5" w14:paraId="2C8F4F83" w14:textId="77777777" w:rsidTr="00211FC5">
        <w:trPr>
          <w:trHeight w:val="288"/>
        </w:trPr>
        <w:tc>
          <w:tcPr>
            <w:tcW w:w="1967" w:type="dxa"/>
            <w:tcBorders>
              <w:top w:val="single" w:sz="12" w:space="0" w:color="auto"/>
              <w:bottom w:val="single" w:sz="4" w:space="0" w:color="auto"/>
            </w:tcBorders>
            <w:shd w:val="clear" w:color="auto" w:fill="C2D69B" w:themeFill="accent3" w:themeFillTint="99"/>
            <w:noWrap/>
            <w:vAlign w:val="bottom"/>
            <w:hideMark/>
          </w:tcPr>
          <w:p w14:paraId="3C121745" w14:textId="2F4930E8"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4</w:t>
            </w:r>
          </w:p>
        </w:tc>
        <w:tc>
          <w:tcPr>
            <w:tcW w:w="960" w:type="dxa"/>
            <w:tcBorders>
              <w:top w:val="single" w:sz="12" w:space="0" w:color="auto"/>
              <w:bottom w:val="single" w:sz="4" w:space="0" w:color="auto"/>
            </w:tcBorders>
            <w:shd w:val="clear" w:color="auto" w:fill="auto"/>
            <w:noWrap/>
            <w:vAlign w:val="bottom"/>
            <w:hideMark/>
          </w:tcPr>
          <w:p w14:paraId="1D1381B8"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18</w:t>
            </w:r>
          </w:p>
        </w:tc>
        <w:tc>
          <w:tcPr>
            <w:tcW w:w="1061" w:type="dxa"/>
            <w:tcBorders>
              <w:top w:val="single" w:sz="12" w:space="0" w:color="auto"/>
              <w:bottom w:val="single" w:sz="4" w:space="0" w:color="auto"/>
            </w:tcBorders>
            <w:shd w:val="clear" w:color="auto" w:fill="auto"/>
            <w:noWrap/>
            <w:vAlign w:val="bottom"/>
            <w:hideMark/>
          </w:tcPr>
          <w:p w14:paraId="1064268B"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6</w:t>
            </w:r>
          </w:p>
        </w:tc>
        <w:tc>
          <w:tcPr>
            <w:tcW w:w="960" w:type="dxa"/>
            <w:tcBorders>
              <w:top w:val="single" w:sz="12" w:space="0" w:color="auto"/>
              <w:bottom w:val="single" w:sz="4" w:space="0" w:color="auto"/>
            </w:tcBorders>
            <w:shd w:val="clear" w:color="auto" w:fill="auto"/>
            <w:noWrap/>
            <w:vAlign w:val="bottom"/>
            <w:hideMark/>
          </w:tcPr>
          <w:p w14:paraId="6D276CE6"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w:t>
            </w:r>
          </w:p>
        </w:tc>
        <w:tc>
          <w:tcPr>
            <w:tcW w:w="1300" w:type="dxa"/>
            <w:tcBorders>
              <w:top w:val="single" w:sz="12" w:space="0" w:color="auto"/>
              <w:left w:val="nil"/>
              <w:bottom w:val="single" w:sz="4" w:space="0" w:color="auto"/>
              <w:right w:val="single" w:sz="4" w:space="0" w:color="auto"/>
            </w:tcBorders>
            <w:shd w:val="clear" w:color="auto" w:fill="auto"/>
            <w:noWrap/>
            <w:vAlign w:val="bottom"/>
            <w:hideMark/>
          </w:tcPr>
          <w:p w14:paraId="1C899B8F"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67</w:t>
            </w:r>
          </w:p>
        </w:tc>
        <w:tc>
          <w:tcPr>
            <w:tcW w:w="1547" w:type="dxa"/>
            <w:vMerge w:val="restart"/>
            <w:tcBorders>
              <w:top w:val="single" w:sz="12" w:space="0" w:color="auto"/>
              <w:left w:val="single" w:sz="4" w:space="0" w:color="auto"/>
              <w:right w:val="single" w:sz="4" w:space="0" w:color="auto"/>
            </w:tcBorders>
            <w:vAlign w:val="center"/>
          </w:tcPr>
          <w:p w14:paraId="662174EB" w14:textId="70338D06" w:rsidR="00211FC5" w:rsidRPr="00211FC5" w:rsidRDefault="00211FC5" w:rsidP="00211FC5">
            <w:pPr>
              <w:jc w:val="center"/>
              <w:rPr>
                <w:rFonts w:asciiTheme="minorHAnsi" w:hAnsiTheme="minorHAnsi" w:cstheme="minorHAnsi"/>
                <w:color w:val="000000"/>
              </w:rPr>
            </w:pPr>
            <w:r>
              <w:rPr>
                <w:rFonts w:asciiTheme="minorHAnsi" w:eastAsia="Times New Roman" w:hAnsiTheme="minorHAnsi" w:cstheme="minorHAnsi" w:hint="cs"/>
                <w:color w:val="000000"/>
                <w:rtl/>
                <w:lang w:eastAsia="en-US"/>
              </w:rPr>
              <w:t>ألف</w:t>
            </w:r>
          </w:p>
        </w:tc>
      </w:tr>
      <w:tr w:rsidR="00211FC5" w:rsidRPr="00211FC5" w14:paraId="1368B7DB" w14:textId="77777777" w:rsidTr="00211FC5">
        <w:trPr>
          <w:trHeight w:val="288"/>
        </w:trPr>
        <w:tc>
          <w:tcPr>
            <w:tcW w:w="1967" w:type="dxa"/>
            <w:tcBorders>
              <w:top w:val="single" w:sz="4" w:space="0" w:color="auto"/>
            </w:tcBorders>
            <w:shd w:val="clear" w:color="auto" w:fill="FABF8F" w:themeFill="accent6" w:themeFillTint="99"/>
            <w:noWrap/>
            <w:vAlign w:val="bottom"/>
            <w:hideMark/>
          </w:tcPr>
          <w:p w14:paraId="10EA1CE6" w14:textId="25E6098D"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960" w:type="dxa"/>
            <w:tcBorders>
              <w:top w:val="single" w:sz="4" w:space="0" w:color="auto"/>
            </w:tcBorders>
            <w:shd w:val="clear" w:color="auto" w:fill="auto"/>
            <w:noWrap/>
            <w:vAlign w:val="bottom"/>
            <w:hideMark/>
          </w:tcPr>
          <w:p w14:paraId="006361E6"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19</w:t>
            </w:r>
          </w:p>
        </w:tc>
        <w:tc>
          <w:tcPr>
            <w:tcW w:w="1061" w:type="dxa"/>
            <w:tcBorders>
              <w:top w:val="single" w:sz="4" w:space="0" w:color="auto"/>
            </w:tcBorders>
            <w:shd w:val="clear" w:color="auto" w:fill="auto"/>
            <w:noWrap/>
            <w:vAlign w:val="bottom"/>
            <w:hideMark/>
          </w:tcPr>
          <w:p w14:paraId="7FAF6CD3"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4</w:t>
            </w:r>
          </w:p>
        </w:tc>
        <w:tc>
          <w:tcPr>
            <w:tcW w:w="960" w:type="dxa"/>
            <w:tcBorders>
              <w:top w:val="single" w:sz="4" w:space="0" w:color="auto"/>
            </w:tcBorders>
            <w:shd w:val="clear" w:color="auto" w:fill="auto"/>
            <w:noWrap/>
            <w:vAlign w:val="bottom"/>
            <w:hideMark/>
          </w:tcPr>
          <w:p w14:paraId="07EEC44E"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DEDAA8B"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66</w:t>
            </w:r>
          </w:p>
        </w:tc>
        <w:tc>
          <w:tcPr>
            <w:tcW w:w="1547" w:type="dxa"/>
            <w:vMerge/>
            <w:tcBorders>
              <w:left w:val="single" w:sz="4" w:space="0" w:color="auto"/>
              <w:right w:val="single" w:sz="4" w:space="0" w:color="auto"/>
            </w:tcBorders>
            <w:vAlign w:val="center"/>
          </w:tcPr>
          <w:p w14:paraId="51B477E7" w14:textId="77777777" w:rsidR="00211FC5" w:rsidRPr="00211FC5" w:rsidRDefault="00211FC5" w:rsidP="00211FC5">
            <w:pPr>
              <w:jc w:val="center"/>
              <w:rPr>
                <w:rFonts w:asciiTheme="minorHAnsi" w:hAnsiTheme="minorHAnsi" w:cstheme="minorHAnsi"/>
                <w:color w:val="000000"/>
              </w:rPr>
            </w:pPr>
          </w:p>
        </w:tc>
      </w:tr>
      <w:tr w:rsidR="00211FC5" w:rsidRPr="00211FC5" w14:paraId="23DAA418" w14:textId="77777777" w:rsidTr="00211FC5">
        <w:trPr>
          <w:trHeight w:val="288"/>
        </w:trPr>
        <w:tc>
          <w:tcPr>
            <w:tcW w:w="1967" w:type="dxa"/>
            <w:shd w:val="clear" w:color="auto" w:fill="C2D69B" w:themeFill="accent3" w:themeFillTint="99"/>
            <w:noWrap/>
            <w:vAlign w:val="bottom"/>
            <w:hideMark/>
          </w:tcPr>
          <w:p w14:paraId="3362055B" w14:textId="108DC4FD"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23</w:t>
            </w:r>
          </w:p>
        </w:tc>
        <w:tc>
          <w:tcPr>
            <w:tcW w:w="960" w:type="dxa"/>
            <w:shd w:val="clear" w:color="auto" w:fill="auto"/>
            <w:noWrap/>
            <w:vAlign w:val="bottom"/>
            <w:hideMark/>
          </w:tcPr>
          <w:p w14:paraId="527441C2"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17</w:t>
            </w:r>
          </w:p>
        </w:tc>
        <w:tc>
          <w:tcPr>
            <w:tcW w:w="1061" w:type="dxa"/>
            <w:shd w:val="clear" w:color="auto" w:fill="auto"/>
            <w:noWrap/>
            <w:vAlign w:val="bottom"/>
            <w:hideMark/>
          </w:tcPr>
          <w:p w14:paraId="510B972D"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960" w:type="dxa"/>
            <w:shd w:val="clear" w:color="auto" w:fill="auto"/>
            <w:noWrap/>
            <w:vAlign w:val="bottom"/>
            <w:hideMark/>
          </w:tcPr>
          <w:p w14:paraId="44B3822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595B03F"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66</w:t>
            </w:r>
          </w:p>
        </w:tc>
        <w:tc>
          <w:tcPr>
            <w:tcW w:w="1547" w:type="dxa"/>
            <w:vMerge/>
            <w:tcBorders>
              <w:left w:val="single" w:sz="4" w:space="0" w:color="auto"/>
              <w:bottom w:val="single" w:sz="4" w:space="0" w:color="auto"/>
              <w:right w:val="single" w:sz="4" w:space="0" w:color="auto"/>
            </w:tcBorders>
            <w:vAlign w:val="center"/>
          </w:tcPr>
          <w:p w14:paraId="4A9727B2" w14:textId="77777777" w:rsidR="00211FC5" w:rsidRPr="00211FC5" w:rsidRDefault="00211FC5" w:rsidP="00211FC5">
            <w:pPr>
              <w:jc w:val="center"/>
              <w:rPr>
                <w:rFonts w:asciiTheme="minorHAnsi" w:hAnsiTheme="minorHAnsi" w:cstheme="minorHAnsi"/>
                <w:color w:val="000000"/>
              </w:rPr>
            </w:pPr>
          </w:p>
        </w:tc>
      </w:tr>
      <w:tr w:rsidR="00211FC5" w:rsidRPr="00211FC5" w14:paraId="3531A2E7" w14:textId="77777777" w:rsidTr="00211FC5">
        <w:trPr>
          <w:trHeight w:val="288"/>
        </w:trPr>
        <w:tc>
          <w:tcPr>
            <w:tcW w:w="1967" w:type="dxa"/>
            <w:shd w:val="clear" w:color="auto" w:fill="F2F2F2" w:themeFill="background1" w:themeFillShade="F2"/>
            <w:noWrap/>
            <w:vAlign w:val="bottom"/>
            <w:hideMark/>
          </w:tcPr>
          <w:p w14:paraId="15D5EAB0" w14:textId="050934D4"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5</w:t>
            </w:r>
          </w:p>
        </w:tc>
        <w:tc>
          <w:tcPr>
            <w:tcW w:w="960" w:type="dxa"/>
            <w:shd w:val="clear" w:color="auto" w:fill="F2F2F2" w:themeFill="background1" w:themeFillShade="F2"/>
            <w:noWrap/>
            <w:vAlign w:val="bottom"/>
            <w:hideMark/>
          </w:tcPr>
          <w:p w14:paraId="4A991DBB"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13</w:t>
            </w:r>
          </w:p>
        </w:tc>
        <w:tc>
          <w:tcPr>
            <w:tcW w:w="1061" w:type="dxa"/>
            <w:shd w:val="clear" w:color="auto" w:fill="F2F2F2" w:themeFill="background1" w:themeFillShade="F2"/>
            <w:noWrap/>
            <w:vAlign w:val="bottom"/>
            <w:hideMark/>
          </w:tcPr>
          <w:p w14:paraId="6F1666D2"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10</w:t>
            </w:r>
          </w:p>
        </w:tc>
        <w:tc>
          <w:tcPr>
            <w:tcW w:w="960" w:type="dxa"/>
            <w:shd w:val="clear" w:color="auto" w:fill="F2F2F2" w:themeFill="background1" w:themeFillShade="F2"/>
            <w:noWrap/>
            <w:vAlign w:val="bottom"/>
            <w:hideMark/>
          </w:tcPr>
          <w:p w14:paraId="497388F7"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05A3D2D"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62</w:t>
            </w:r>
          </w:p>
        </w:tc>
        <w:tc>
          <w:tcPr>
            <w:tcW w:w="154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0E9D232" w14:textId="1A513D21" w:rsidR="00211FC5" w:rsidRPr="00211FC5" w:rsidRDefault="00211FC5" w:rsidP="00211FC5">
            <w:pPr>
              <w:jc w:val="center"/>
              <w:rPr>
                <w:rFonts w:asciiTheme="minorHAnsi" w:hAnsiTheme="minorHAnsi" w:cstheme="minorHAnsi"/>
                <w:color w:val="000000"/>
              </w:rPr>
            </w:pPr>
            <w:r>
              <w:rPr>
                <w:rFonts w:asciiTheme="minorHAnsi" w:eastAsia="Times New Roman" w:hAnsiTheme="minorHAnsi" w:cstheme="minorHAnsi" w:hint="cs"/>
                <w:color w:val="000000"/>
                <w:rtl/>
                <w:lang w:eastAsia="en-US"/>
              </w:rPr>
              <w:t>باء</w:t>
            </w:r>
          </w:p>
        </w:tc>
      </w:tr>
      <w:tr w:rsidR="00211FC5" w:rsidRPr="00211FC5" w14:paraId="363CE191" w14:textId="77777777" w:rsidTr="00211FC5">
        <w:trPr>
          <w:trHeight w:val="288"/>
        </w:trPr>
        <w:tc>
          <w:tcPr>
            <w:tcW w:w="1967" w:type="dxa"/>
            <w:shd w:val="clear" w:color="auto" w:fill="C2D69B" w:themeFill="accent3" w:themeFillTint="99"/>
            <w:noWrap/>
            <w:vAlign w:val="bottom"/>
            <w:hideMark/>
          </w:tcPr>
          <w:p w14:paraId="4C43507C" w14:textId="4D3C4AE2"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6</w:t>
            </w:r>
          </w:p>
        </w:tc>
        <w:tc>
          <w:tcPr>
            <w:tcW w:w="960" w:type="dxa"/>
            <w:shd w:val="clear" w:color="auto" w:fill="F2F2F2" w:themeFill="background1" w:themeFillShade="F2"/>
            <w:noWrap/>
            <w:vAlign w:val="bottom"/>
            <w:hideMark/>
          </w:tcPr>
          <w:p w14:paraId="4D737359"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14</w:t>
            </w:r>
          </w:p>
        </w:tc>
        <w:tc>
          <w:tcPr>
            <w:tcW w:w="1061" w:type="dxa"/>
            <w:shd w:val="clear" w:color="auto" w:fill="F2F2F2" w:themeFill="background1" w:themeFillShade="F2"/>
            <w:noWrap/>
            <w:vAlign w:val="bottom"/>
            <w:hideMark/>
          </w:tcPr>
          <w:p w14:paraId="611CF00D"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960" w:type="dxa"/>
            <w:shd w:val="clear" w:color="auto" w:fill="F2F2F2" w:themeFill="background1" w:themeFillShade="F2"/>
            <w:noWrap/>
            <w:vAlign w:val="bottom"/>
            <w:hideMark/>
          </w:tcPr>
          <w:p w14:paraId="2E3210F2"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5</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1C0CECF"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61</w:t>
            </w:r>
          </w:p>
        </w:tc>
        <w:tc>
          <w:tcPr>
            <w:tcW w:w="1547" w:type="dxa"/>
            <w:vMerge/>
            <w:tcBorders>
              <w:left w:val="single" w:sz="4" w:space="0" w:color="auto"/>
              <w:right w:val="single" w:sz="4" w:space="0" w:color="auto"/>
            </w:tcBorders>
            <w:shd w:val="clear" w:color="auto" w:fill="F2F2F2" w:themeFill="background1" w:themeFillShade="F2"/>
            <w:vAlign w:val="center"/>
          </w:tcPr>
          <w:p w14:paraId="6CCAAC32" w14:textId="77777777" w:rsidR="00211FC5" w:rsidRPr="00211FC5" w:rsidRDefault="00211FC5" w:rsidP="00211FC5">
            <w:pPr>
              <w:jc w:val="center"/>
              <w:rPr>
                <w:rFonts w:asciiTheme="minorHAnsi" w:hAnsiTheme="minorHAnsi" w:cstheme="minorHAnsi"/>
                <w:color w:val="000000"/>
              </w:rPr>
            </w:pPr>
          </w:p>
        </w:tc>
      </w:tr>
      <w:tr w:rsidR="00211FC5" w:rsidRPr="00211FC5" w14:paraId="513B73C6" w14:textId="77777777" w:rsidTr="00211FC5">
        <w:trPr>
          <w:trHeight w:val="288"/>
        </w:trPr>
        <w:tc>
          <w:tcPr>
            <w:tcW w:w="1967" w:type="dxa"/>
            <w:shd w:val="clear" w:color="auto" w:fill="F2F2F2" w:themeFill="background1" w:themeFillShade="F2"/>
            <w:noWrap/>
            <w:vAlign w:val="bottom"/>
            <w:hideMark/>
          </w:tcPr>
          <w:p w14:paraId="58A644A0" w14:textId="35F21E66"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16</w:t>
            </w:r>
          </w:p>
        </w:tc>
        <w:tc>
          <w:tcPr>
            <w:tcW w:w="960" w:type="dxa"/>
            <w:shd w:val="clear" w:color="auto" w:fill="F2F2F2" w:themeFill="background1" w:themeFillShade="F2"/>
            <w:noWrap/>
            <w:vAlign w:val="bottom"/>
            <w:hideMark/>
          </w:tcPr>
          <w:p w14:paraId="7DA39CDE"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13</w:t>
            </w:r>
          </w:p>
        </w:tc>
        <w:tc>
          <w:tcPr>
            <w:tcW w:w="1061" w:type="dxa"/>
            <w:shd w:val="clear" w:color="auto" w:fill="F2F2F2" w:themeFill="background1" w:themeFillShade="F2"/>
            <w:noWrap/>
            <w:vAlign w:val="bottom"/>
            <w:hideMark/>
          </w:tcPr>
          <w:p w14:paraId="08C5DC53"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960" w:type="dxa"/>
            <w:shd w:val="clear" w:color="auto" w:fill="F2F2F2" w:themeFill="background1" w:themeFillShade="F2"/>
            <w:noWrap/>
            <w:vAlign w:val="bottom"/>
            <w:hideMark/>
          </w:tcPr>
          <w:p w14:paraId="29A21061"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4</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95B23DE"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61</w:t>
            </w:r>
          </w:p>
        </w:tc>
        <w:tc>
          <w:tcPr>
            <w:tcW w:w="1547" w:type="dxa"/>
            <w:vMerge/>
            <w:tcBorders>
              <w:left w:val="single" w:sz="4" w:space="0" w:color="auto"/>
              <w:right w:val="single" w:sz="4" w:space="0" w:color="auto"/>
            </w:tcBorders>
            <w:shd w:val="clear" w:color="auto" w:fill="F2F2F2" w:themeFill="background1" w:themeFillShade="F2"/>
            <w:vAlign w:val="center"/>
          </w:tcPr>
          <w:p w14:paraId="487BD231" w14:textId="77777777" w:rsidR="00211FC5" w:rsidRPr="00211FC5" w:rsidRDefault="00211FC5" w:rsidP="00211FC5">
            <w:pPr>
              <w:jc w:val="center"/>
              <w:rPr>
                <w:rFonts w:asciiTheme="minorHAnsi" w:hAnsiTheme="minorHAnsi" w:cstheme="minorHAnsi"/>
                <w:color w:val="000000"/>
              </w:rPr>
            </w:pPr>
          </w:p>
        </w:tc>
      </w:tr>
      <w:tr w:rsidR="00211FC5" w:rsidRPr="00211FC5" w14:paraId="2B8B00EF" w14:textId="77777777" w:rsidTr="00211FC5">
        <w:trPr>
          <w:trHeight w:val="288"/>
        </w:trPr>
        <w:tc>
          <w:tcPr>
            <w:tcW w:w="1967" w:type="dxa"/>
            <w:shd w:val="clear" w:color="auto" w:fill="F2F2F2" w:themeFill="background1" w:themeFillShade="F2"/>
            <w:noWrap/>
            <w:vAlign w:val="bottom"/>
            <w:hideMark/>
          </w:tcPr>
          <w:p w14:paraId="70D541D4" w14:textId="1D119DD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2</w:t>
            </w:r>
          </w:p>
        </w:tc>
        <w:tc>
          <w:tcPr>
            <w:tcW w:w="960" w:type="dxa"/>
            <w:shd w:val="clear" w:color="auto" w:fill="F2F2F2" w:themeFill="background1" w:themeFillShade="F2"/>
            <w:noWrap/>
            <w:vAlign w:val="bottom"/>
            <w:hideMark/>
          </w:tcPr>
          <w:p w14:paraId="404B461F"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11</w:t>
            </w:r>
          </w:p>
        </w:tc>
        <w:tc>
          <w:tcPr>
            <w:tcW w:w="1061" w:type="dxa"/>
            <w:shd w:val="clear" w:color="auto" w:fill="F2F2F2" w:themeFill="background1" w:themeFillShade="F2"/>
            <w:noWrap/>
            <w:vAlign w:val="bottom"/>
            <w:hideMark/>
          </w:tcPr>
          <w:p w14:paraId="22CDE084"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13</w:t>
            </w:r>
          </w:p>
        </w:tc>
        <w:tc>
          <w:tcPr>
            <w:tcW w:w="960" w:type="dxa"/>
            <w:shd w:val="clear" w:color="auto" w:fill="F2F2F2" w:themeFill="background1" w:themeFillShade="F2"/>
            <w:noWrap/>
            <w:vAlign w:val="bottom"/>
            <w:hideMark/>
          </w:tcPr>
          <w:p w14:paraId="4F2AE5D8"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2</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BC06AA8"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61</w:t>
            </w:r>
          </w:p>
        </w:tc>
        <w:tc>
          <w:tcPr>
            <w:tcW w:w="1547" w:type="dxa"/>
            <w:vMerge/>
            <w:tcBorders>
              <w:left w:val="single" w:sz="4" w:space="0" w:color="auto"/>
              <w:right w:val="single" w:sz="4" w:space="0" w:color="auto"/>
            </w:tcBorders>
            <w:shd w:val="clear" w:color="auto" w:fill="F2F2F2" w:themeFill="background1" w:themeFillShade="F2"/>
            <w:vAlign w:val="center"/>
          </w:tcPr>
          <w:p w14:paraId="5FC88B0B" w14:textId="77777777" w:rsidR="00211FC5" w:rsidRPr="00211FC5" w:rsidRDefault="00211FC5" w:rsidP="00211FC5">
            <w:pPr>
              <w:jc w:val="center"/>
              <w:rPr>
                <w:rFonts w:asciiTheme="minorHAnsi" w:hAnsiTheme="minorHAnsi" w:cstheme="minorHAnsi"/>
                <w:color w:val="000000"/>
              </w:rPr>
            </w:pPr>
          </w:p>
        </w:tc>
      </w:tr>
      <w:tr w:rsidR="00211FC5" w:rsidRPr="00211FC5" w14:paraId="37B208CF" w14:textId="77777777" w:rsidTr="00211FC5">
        <w:trPr>
          <w:trHeight w:val="288"/>
        </w:trPr>
        <w:tc>
          <w:tcPr>
            <w:tcW w:w="1967" w:type="dxa"/>
            <w:shd w:val="clear" w:color="auto" w:fill="F2F2F2" w:themeFill="background1" w:themeFillShade="F2"/>
            <w:noWrap/>
            <w:vAlign w:val="bottom"/>
            <w:hideMark/>
          </w:tcPr>
          <w:p w14:paraId="0EAFA5CC" w14:textId="1FBB7EF8"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27</w:t>
            </w:r>
          </w:p>
        </w:tc>
        <w:tc>
          <w:tcPr>
            <w:tcW w:w="960" w:type="dxa"/>
            <w:shd w:val="clear" w:color="auto" w:fill="F2F2F2" w:themeFill="background1" w:themeFillShade="F2"/>
            <w:noWrap/>
            <w:vAlign w:val="bottom"/>
            <w:hideMark/>
          </w:tcPr>
          <w:p w14:paraId="037835D7"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14</w:t>
            </w:r>
          </w:p>
        </w:tc>
        <w:tc>
          <w:tcPr>
            <w:tcW w:w="1061" w:type="dxa"/>
            <w:shd w:val="clear" w:color="auto" w:fill="F2F2F2" w:themeFill="background1" w:themeFillShade="F2"/>
            <w:noWrap/>
            <w:vAlign w:val="bottom"/>
            <w:hideMark/>
          </w:tcPr>
          <w:p w14:paraId="35B62B75"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6</w:t>
            </w:r>
          </w:p>
        </w:tc>
        <w:tc>
          <w:tcPr>
            <w:tcW w:w="960" w:type="dxa"/>
            <w:shd w:val="clear" w:color="auto" w:fill="F2F2F2" w:themeFill="background1" w:themeFillShade="F2"/>
            <w:noWrap/>
            <w:vAlign w:val="bottom"/>
            <w:hideMark/>
          </w:tcPr>
          <w:p w14:paraId="28AE03BE"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6</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6D25A81"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60</w:t>
            </w:r>
          </w:p>
        </w:tc>
        <w:tc>
          <w:tcPr>
            <w:tcW w:w="1547" w:type="dxa"/>
            <w:vMerge/>
            <w:tcBorders>
              <w:left w:val="single" w:sz="4" w:space="0" w:color="auto"/>
              <w:right w:val="single" w:sz="4" w:space="0" w:color="auto"/>
            </w:tcBorders>
            <w:shd w:val="clear" w:color="auto" w:fill="F2F2F2" w:themeFill="background1" w:themeFillShade="F2"/>
            <w:vAlign w:val="center"/>
          </w:tcPr>
          <w:p w14:paraId="3EE6CF78" w14:textId="77777777" w:rsidR="00211FC5" w:rsidRPr="00211FC5" w:rsidRDefault="00211FC5" w:rsidP="00211FC5">
            <w:pPr>
              <w:jc w:val="center"/>
              <w:rPr>
                <w:rFonts w:asciiTheme="minorHAnsi" w:hAnsiTheme="minorHAnsi" w:cstheme="minorHAnsi"/>
                <w:color w:val="000000"/>
              </w:rPr>
            </w:pPr>
          </w:p>
        </w:tc>
      </w:tr>
      <w:tr w:rsidR="00211FC5" w:rsidRPr="00211FC5" w14:paraId="51F38047" w14:textId="77777777" w:rsidTr="00211FC5">
        <w:trPr>
          <w:trHeight w:val="288"/>
        </w:trPr>
        <w:tc>
          <w:tcPr>
            <w:tcW w:w="1967" w:type="dxa"/>
            <w:shd w:val="clear" w:color="auto" w:fill="F2F2F2" w:themeFill="background1" w:themeFillShade="F2"/>
            <w:noWrap/>
            <w:vAlign w:val="bottom"/>
            <w:hideMark/>
          </w:tcPr>
          <w:p w14:paraId="4408BB59" w14:textId="47E0FD7F"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w:t>
            </w:r>
          </w:p>
        </w:tc>
        <w:tc>
          <w:tcPr>
            <w:tcW w:w="960" w:type="dxa"/>
            <w:shd w:val="clear" w:color="auto" w:fill="F2F2F2" w:themeFill="background1" w:themeFillShade="F2"/>
            <w:noWrap/>
            <w:vAlign w:val="bottom"/>
            <w:hideMark/>
          </w:tcPr>
          <w:p w14:paraId="1E08307B"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13</w:t>
            </w:r>
          </w:p>
        </w:tc>
        <w:tc>
          <w:tcPr>
            <w:tcW w:w="1061" w:type="dxa"/>
            <w:shd w:val="clear" w:color="auto" w:fill="F2F2F2" w:themeFill="background1" w:themeFillShade="F2"/>
            <w:noWrap/>
            <w:vAlign w:val="bottom"/>
            <w:hideMark/>
          </w:tcPr>
          <w:p w14:paraId="3B38AEC8"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960" w:type="dxa"/>
            <w:shd w:val="clear" w:color="auto" w:fill="F2F2F2" w:themeFill="background1" w:themeFillShade="F2"/>
            <w:noWrap/>
            <w:vAlign w:val="bottom"/>
            <w:hideMark/>
          </w:tcPr>
          <w:p w14:paraId="08960F2B"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FD0964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60</w:t>
            </w:r>
          </w:p>
        </w:tc>
        <w:tc>
          <w:tcPr>
            <w:tcW w:w="1547" w:type="dxa"/>
            <w:vMerge/>
            <w:tcBorders>
              <w:left w:val="single" w:sz="4" w:space="0" w:color="auto"/>
              <w:right w:val="single" w:sz="4" w:space="0" w:color="auto"/>
            </w:tcBorders>
            <w:shd w:val="clear" w:color="auto" w:fill="F2F2F2" w:themeFill="background1" w:themeFillShade="F2"/>
            <w:vAlign w:val="center"/>
          </w:tcPr>
          <w:p w14:paraId="0022CBDD" w14:textId="77777777" w:rsidR="00211FC5" w:rsidRPr="00211FC5" w:rsidRDefault="00211FC5" w:rsidP="00211FC5">
            <w:pPr>
              <w:jc w:val="center"/>
              <w:rPr>
                <w:rFonts w:asciiTheme="minorHAnsi" w:hAnsiTheme="minorHAnsi" w:cstheme="minorHAnsi"/>
                <w:color w:val="000000"/>
              </w:rPr>
            </w:pPr>
          </w:p>
        </w:tc>
      </w:tr>
      <w:tr w:rsidR="00211FC5" w:rsidRPr="00211FC5" w14:paraId="2450CD5C" w14:textId="77777777" w:rsidTr="00211FC5">
        <w:trPr>
          <w:trHeight w:val="288"/>
        </w:trPr>
        <w:tc>
          <w:tcPr>
            <w:tcW w:w="1967" w:type="dxa"/>
            <w:shd w:val="clear" w:color="auto" w:fill="F2F2F2" w:themeFill="background1" w:themeFillShade="F2"/>
            <w:noWrap/>
            <w:vAlign w:val="bottom"/>
            <w:hideMark/>
          </w:tcPr>
          <w:p w14:paraId="058CF6F8" w14:textId="3BE522BA"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20</w:t>
            </w:r>
          </w:p>
        </w:tc>
        <w:tc>
          <w:tcPr>
            <w:tcW w:w="960" w:type="dxa"/>
            <w:shd w:val="clear" w:color="auto" w:fill="F2F2F2" w:themeFill="background1" w:themeFillShade="F2"/>
            <w:noWrap/>
            <w:vAlign w:val="bottom"/>
            <w:hideMark/>
          </w:tcPr>
          <w:p w14:paraId="0BEB3B6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13</w:t>
            </w:r>
          </w:p>
        </w:tc>
        <w:tc>
          <w:tcPr>
            <w:tcW w:w="1061" w:type="dxa"/>
            <w:shd w:val="clear" w:color="auto" w:fill="F2F2F2" w:themeFill="background1" w:themeFillShade="F2"/>
            <w:noWrap/>
            <w:vAlign w:val="bottom"/>
            <w:hideMark/>
          </w:tcPr>
          <w:p w14:paraId="5A5361F8"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960" w:type="dxa"/>
            <w:shd w:val="clear" w:color="auto" w:fill="F2F2F2" w:themeFill="background1" w:themeFillShade="F2"/>
            <w:noWrap/>
            <w:vAlign w:val="bottom"/>
            <w:hideMark/>
          </w:tcPr>
          <w:p w14:paraId="4BE248BA"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5</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30CD50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58</w:t>
            </w:r>
          </w:p>
        </w:tc>
        <w:tc>
          <w:tcPr>
            <w:tcW w:w="1547" w:type="dxa"/>
            <w:vMerge/>
            <w:tcBorders>
              <w:left w:val="single" w:sz="4" w:space="0" w:color="auto"/>
              <w:right w:val="single" w:sz="4" w:space="0" w:color="auto"/>
            </w:tcBorders>
            <w:shd w:val="clear" w:color="auto" w:fill="F2F2F2" w:themeFill="background1" w:themeFillShade="F2"/>
            <w:vAlign w:val="center"/>
          </w:tcPr>
          <w:p w14:paraId="5E560027" w14:textId="77777777" w:rsidR="00211FC5" w:rsidRPr="00211FC5" w:rsidRDefault="00211FC5" w:rsidP="00211FC5">
            <w:pPr>
              <w:jc w:val="center"/>
              <w:rPr>
                <w:rFonts w:asciiTheme="minorHAnsi" w:hAnsiTheme="minorHAnsi" w:cstheme="minorHAnsi"/>
                <w:color w:val="000000"/>
              </w:rPr>
            </w:pPr>
          </w:p>
        </w:tc>
      </w:tr>
      <w:tr w:rsidR="00211FC5" w:rsidRPr="00211FC5" w14:paraId="330F70C2" w14:textId="77777777" w:rsidTr="00211FC5">
        <w:trPr>
          <w:trHeight w:val="288"/>
        </w:trPr>
        <w:tc>
          <w:tcPr>
            <w:tcW w:w="1967" w:type="dxa"/>
            <w:shd w:val="clear" w:color="auto" w:fill="F2F2F2" w:themeFill="background1" w:themeFillShade="F2"/>
            <w:noWrap/>
            <w:vAlign w:val="bottom"/>
            <w:hideMark/>
          </w:tcPr>
          <w:p w14:paraId="4AE2F932" w14:textId="60721A9A"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28</w:t>
            </w:r>
          </w:p>
        </w:tc>
        <w:tc>
          <w:tcPr>
            <w:tcW w:w="960" w:type="dxa"/>
            <w:shd w:val="clear" w:color="auto" w:fill="F2F2F2" w:themeFill="background1" w:themeFillShade="F2"/>
            <w:noWrap/>
            <w:vAlign w:val="bottom"/>
            <w:hideMark/>
          </w:tcPr>
          <w:p w14:paraId="007EC48A"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12</w:t>
            </w:r>
          </w:p>
        </w:tc>
        <w:tc>
          <w:tcPr>
            <w:tcW w:w="1061" w:type="dxa"/>
            <w:shd w:val="clear" w:color="auto" w:fill="F2F2F2" w:themeFill="background1" w:themeFillShade="F2"/>
            <w:noWrap/>
            <w:vAlign w:val="bottom"/>
            <w:hideMark/>
          </w:tcPr>
          <w:p w14:paraId="1A469FA7"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960" w:type="dxa"/>
            <w:shd w:val="clear" w:color="auto" w:fill="F2F2F2" w:themeFill="background1" w:themeFillShade="F2"/>
            <w:noWrap/>
            <w:vAlign w:val="bottom"/>
            <w:hideMark/>
          </w:tcPr>
          <w:p w14:paraId="22678204"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4</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7F3A935"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58</w:t>
            </w:r>
          </w:p>
        </w:tc>
        <w:tc>
          <w:tcPr>
            <w:tcW w:w="1547" w:type="dxa"/>
            <w:vMerge/>
            <w:tcBorders>
              <w:left w:val="single" w:sz="4" w:space="0" w:color="auto"/>
              <w:right w:val="single" w:sz="4" w:space="0" w:color="auto"/>
            </w:tcBorders>
            <w:shd w:val="clear" w:color="auto" w:fill="F2F2F2" w:themeFill="background1" w:themeFillShade="F2"/>
            <w:vAlign w:val="center"/>
          </w:tcPr>
          <w:p w14:paraId="59AF3EF7" w14:textId="77777777" w:rsidR="00211FC5" w:rsidRPr="00211FC5" w:rsidRDefault="00211FC5" w:rsidP="00211FC5">
            <w:pPr>
              <w:jc w:val="center"/>
              <w:rPr>
                <w:rFonts w:asciiTheme="minorHAnsi" w:hAnsiTheme="minorHAnsi" w:cstheme="minorHAnsi"/>
                <w:color w:val="000000"/>
              </w:rPr>
            </w:pPr>
          </w:p>
        </w:tc>
      </w:tr>
      <w:tr w:rsidR="00211FC5" w:rsidRPr="00211FC5" w14:paraId="16580017" w14:textId="77777777" w:rsidTr="00211FC5">
        <w:trPr>
          <w:trHeight w:val="288"/>
        </w:trPr>
        <w:tc>
          <w:tcPr>
            <w:tcW w:w="1967" w:type="dxa"/>
            <w:shd w:val="clear" w:color="auto" w:fill="FABF8F" w:themeFill="accent6" w:themeFillTint="99"/>
            <w:noWrap/>
            <w:vAlign w:val="bottom"/>
            <w:hideMark/>
          </w:tcPr>
          <w:p w14:paraId="726592F2" w14:textId="1473686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40</w:t>
            </w:r>
          </w:p>
        </w:tc>
        <w:tc>
          <w:tcPr>
            <w:tcW w:w="960" w:type="dxa"/>
            <w:shd w:val="clear" w:color="auto" w:fill="F2F2F2" w:themeFill="background1" w:themeFillShade="F2"/>
            <w:noWrap/>
            <w:vAlign w:val="bottom"/>
            <w:hideMark/>
          </w:tcPr>
          <w:p w14:paraId="3DC35144"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12</w:t>
            </w:r>
          </w:p>
        </w:tc>
        <w:tc>
          <w:tcPr>
            <w:tcW w:w="1061" w:type="dxa"/>
            <w:shd w:val="clear" w:color="auto" w:fill="F2F2F2" w:themeFill="background1" w:themeFillShade="F2"/>
            <w:noWrap/>
            <w:vAlign w:val="bottom"/>
            <w:hideMark/>
          </w:tcPr>
          <w:p w14:paraId="09116138"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960" w:type="dxa"/>
            <w:shd w:val="clear" w:color="auto" w:fill="F2F2F2" w:themeFill="background1" w:themeFillShade="F2"/>
            <w:noWrap/>
            <w:vAlign w:val="bottom"/>
            <w:hideMark/>
          </w:tcPr>
          <w:p w14:paraId="7ACB47B4"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4</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38AC497"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58</w:t>
            </w:r>
          </w:p>
        </w:tc>
        <w:tc>
          <w:tcPr>
            <w:tcW w:w="1547" w:type="dxa"/>
            <w:vMerge/>
            <w:tcBorders>
              <w:left w:val="single" w:sz="4" w:space="0" w:color="auto"/>
              <w:right w:val="single" w:sz="4" w:space="0" w:color="auto"/>
            </w:tcBorders>
            <w:shd w:val="clear" w:color="auto" w:fill="F2F2F2" w:themeFill="background1" w:themeFillShade="F2"/>
            <w:vAlign w:val="center"/>
          </w:tcPr>
          <w:p w14:paraId="5DA4CCF7" w14:textId="77777777" w:rsidR="00211FC5" w:rsidRPr="00211FC5" w:rsidRDefault="00211FC5" w:rsidP="00211FC5">
            <w:pPr>
              <w:jc w:val="center"/>
              <w:rPr>
                <w:rFonts w:asciiTheme="minorHAnsi" w:hAnsiTheme="minorHAnsi" w:cstheme="minorHAnsi"/>
                <w:color w:val="000000"/>
              </w:rPr>
            </w:pPr>
          </w:p>
        </w:tc>
      </w:tr>
      <w:tr w:rsidR="00211FC5" w:rsidRPr="00211FC5" w14:paraId="027F78B2" w14:textId="77777777" w:rsidTr="00211FC5">
        <w:trPr>
          <w:trHeight w:val="288"/>
        </w:trPr>
        <w:tc>
          <w:tcPr>
            <w:tcW w:w="1967" w:type="dxa"/>
            <w:shd w:val="clear" w:color="auto" w:fill="F2F2F2" w:themeFill="background1" w:themeFillShade="F2"/>
            <w:noWrap/>
            <w:vAlign w:val="bottom"/>
            <w:hideMark/>
          </w:tcPr>
          <w:p w14:paraId="49083C76" w14:textId="2A7904D2"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19</w:t>
            </w:r>
          </w:p>
        </w:tc>
        <w:tc>
          <w:tcPr>
            <w:tcW w:w="960" w:type="dxa"/>
            <w:shd w:val="clear" w:color="auto" w:fill="F2F2F2" w:themeFill="background1" w:themeFillShade="F2"/>
            <w:noWrap/>
            <w:vAlign w:val="bottom"/>
            <w:hideMark/>
          </w:tcPr>
          <w:p w14:paraId="5C0446FE"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11</w:t>
            </w:r>
          </w:p>
        </w:tc>
        <w:tc>
          <w:tcPr>
            <w:tcW w:w="1061" w:type="dxa"/>
            <w:shd w:val="clear" w:color="auto" w:fill="F2F2F2" w:themeFill="background1" w:themeFillShade="F2"/>
            <w:noWrap/>
            <w:vAlign w:val="bottom"/>
            <w:hideMark/>
          </w:tcPr>
          <w:p w14:paraId="2B246D18"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11</w:t>
            </w:r>
          </w:p>
        </w:tc>
        <w:tc>
          <w:tcPr>
            <w:tcW w:w="960" w:type="dxa"/>
            <w:shd w:val="clear" w:color="auto" w:fill="F2F2F2" w:themeFill="background1" w:themeFillShade="F2"/>
            <w:noWrap/>
            <w:vAlign w:val="bottom"/>
            <w:hideMark/>
          </w:tcPr>
          <w:p w14:paraId="2F79FDFF"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611F607"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58</w:t>
            </w:r>
          </w:p>
        </w:tc>
        <w:tc>
          <w:tcPr>
            <w:tcW w:w="1547" w:type="dxa"/>
            <w:vMerge/>
            <w:tcBorders>
              <w:left w:val="single" w:sz="4" w:space="0" w:color="auto"/>
              <w:right w:val="single" w:sz="4" w:space="0" w:color="auto"/>
            </w:tcBorders>
            <w:shd w:val="clear" w:color="auto" w:fill="F2F2F2" w:themeFill="background1" w:themeFillShade="F2"/>
            <w:vAlign w:val="center"/>
          </w:tcPr>
          <w:p w14:paraId="2A1854F1" w14:textId="77777777" w:rsidR="00211FC5" w:rsidRPr="00211FC5" w:rsidRDefault="00211FC5" w:rsidP="00211FC5">
            <w:pPr>
              <w:jc w:val="center"/>
              <w:rPr>
                <w:rFonts w:asciiTheme="minorHAnsi" w:hAnsiTheme="minorHAnsi" w:cstheme="minorHAnsi"/>
                <w:color w:val="000000"/>
              </w:rPr>
            </w:pPr>
          </w:p>
        </w:tc>
      </w:tr>
      <w:tr w:rsidR="00211FC5" w:rsidRPr="00211FC5" w14:paraId="03736DDE" w14:textId="77777777" w:rsidTr="00211FC5">
        <w:trPr>
          <w:trHeight w:val="288"/>
        </w:trPr>
        <w:tc>
          <w:tcPr>
            <w:tcW w:w="1967" w:type="dxa"/>
            <w:shd w:val="clear" w:color="auto" w:fill="F2F2F2" w:themeFill="background1" w:themeFillShade="F2"/>
            <w:noWrap/>
            <w:vAlign w:val="bottom"/>
            <w:hideMark/>
          </w:tcPr>
          <w:p w14:paraId="6F4601A7" w14:textId="7FBAB81D"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21</w:t>
            </w:r>
          </w:p>
        </w:tc>
        <w:tc>
          <w:tcPr>
            <w:tcW w:w="960" w:type="dxa"/>
            <w:shd w:val="clear" w:color="auto" w:fill="F2F2F2" w:themeFill="background1" w:themeFillShade="F2"/>
            <w:noWrap/>
            <w:vAlign w:val="bottom"/>
            <w:hideMark/>
          </w:tcPr>
          <w:p w14:paraId="6BBA5E53"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12</w:t>
            </w:r>
          </w:p>
        </w:tc>
        <w:tc>
          <w:tcPr>
            <w:tcW w:w="1061" w:type="dxa"/>
            <w:shd w:val="clear" w:color="auto" w:fill="F2F2F2" w:themeFill="background1" w:themeFillShade="F2"/>
            <w:noWrap/>
            <w:vAlign w:val="bottom"/>
            <w:hideMark/>
          </w:tcPr>
          <w:p w14:paraId="67C19441"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960" w:type="dxa"/>
            <w:shd w:val="clear" w:color="auto" w:fill="F2F2F2" w:themeFill="background1" w:themeFillShade="F2"/>
            <w:noWrap/>
            <w:vAlign w:val="bottom"/>
            <w:hideMark/>
          </w:tcPr>
          <w:p w14:paraId="0861766E"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E091442"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57</w:t>
            </w:r>
          </w:p>
        </w:tc>
        <w:tc>
          <w:tcPr>
            <w:tcW w:w="1547" w:type="dxa"/>
            <w:vMerge/>
            <w:tcBorders>
              <w:left w:val="single" w:sz="4" w:space="0" w:color="auto"/>
              <w:right w:val="single" w:sz="4" w:space="0" w:color="auto"/>
            </w:tcBorders>
            <w:shd w:val="clear" w:color="auto" w:fill="F2F2F2" w:themeFill="background1" w:themeFillShade="F2"/>
            <w:vAlign w:val="center"/>
          </w:tcPr>
          <w:p w14:paraId="5D5AE797" w14:textId="77777777" w:rsidR="00211FC5" w:rsidRPr="00211FC5" w:rsidRDefault="00211FC5" w:rsidP="00211FC5">
            <w:pPr>
              <w:jc w:val="center"/>
              <w:rPr>
                <w:rFonts w:asciiTheme="minorHAnsi" w:hAnsiTheme="minorHAnsi" w:cstheme="minorHAnsi"/>
                <w:color w:val="000000"/>
              </w:rPr>
            </w:pPr>
          </w:p>
        </w:tc>
      </w:tr>
      <w:tr w:rsidR="00211FC5" w:rsidRPr="00211FC5" w14:paraId="1CBAA23D" w14:textId="77777777" w:rsidTr="00211FC5">
        <w:trPr>
          <w:trHeight w:val="288"/>
        </w:trPr>
        <w:tc>
          <w:tcPr>
            <w:tcW w:w="1967" w:type="dxa"/>
            <w:shd w:val="clear" w:color="auto" w:fill="FABF8F" w:themeFill="accent6" w:themeFillTint="99"/>
            <w:noWrap/>
            <w:vAlign w:val="bottom"/>
            <w:hideMark/>
          </w:tcPr>
          <w:p w14:paraId="7E4A813C" w14:textId="393629D8"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31</w:t>
            </w:r>
          </w:p>
        </w:tc>
        <w:tc>
          <w:tcPr>
            <w:tcW w:w="960" w:type="dxa"/>
            <w:shd w:val="clear" w:color="auto" w:fill="F2F2F2" w:themeFill="background1" w:themeFillShade="F2"/>
            <w:noWrap/>
            <w:vAlign w:val="bottom"/>
            <w:hideMark/>
          </w:tcPr>
          <w:p w14:paraId="0B4CE5B8"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11</w:t>
            </w:r>
          </w:p>
        </w:tc>
        <w:tc>
          <w:tcPr>
            <w:tcW w:w="1061" w:type="dxa"/>
            <w:shd w:val="clear" w:color="auto" w:fill="F2F2F2" w:themeFill="background1" w:themeFillShade="F2"/>
            <w:noWrap/>
            <w:vAlign w:val="bottom"/>
            <w:hideMark/>
          </w:tcPr>
          <w:p w14:paraId="20156E55"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10</w:t>
            </w:r>
          </w:p>
        </w:tc>
        <w:tc>
          <w:tcPr>
            <w:tcW w:w="960" w:type="dxa"/>
            <w:shd w:val="clear" w:color="auto" w:fill="F2F2F2" w:themeFill="background1" w:themeFillShade="F2"/>
            <w:noWrap/>
            <w:vAlign w:val="bottom"/>
            <w:hideMark/>
          </w:tcPr>
          <w:p w14:paraId="713665FA"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4</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EF32360"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57</w:t>
            </w:r>
          </w:p>
        </w:tc>
        <w:tc>
          <w:tcPr>
            <w:tcW w:w="154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0A107F1" w14:textId="77777777" w:rsidR="00211FC5" w:rsidRPr="00211FC5" w:rsidRDefault="00211FC5" w:rsidP="00211FC5">
            <w:pPr>
              <w:jc w:val="center"/>
              <w:rPr>
                <w:rFonts w:asciiTheme="minorHAnsi" w:hAnsiTheme="minorHAnsi" w:cstheme="minorHAnsi"/>
                <w:color w:val="000000"/>
              </w:rPr>
            </w:pPr>
          </w:p>
        </w:tc>
      </w:tr>
      <w:tr w:rsidR="00211FC5" w:rsidRPr="00211FC5" w14:paraId="1682AFCD" w14:textId="77777777" w:rsidTr="00211FC5">
        <w:trPr>
          <w:trHeight w:val="288"/>
        </w:trPr>
        <w:tc>
          <w:tcPr>
            <w:tcW w:w="1967" w:type="dxa"/>
            <w:shd w:val="clear" w:color="auto" w:fill="auto"/>
            <w:noWrap/>
            <w:vAlign w:val="bottom"/>
            <w:hideMark/>
          </w:tcPr>
          <w:p w14:paraId="3EEEB109" w14:textId="6DF0204D"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14</w:t>
            </w:r>
          </w:p>
        </w:tc>
        <w:tc>
          <w:tcPr>
            <w:tcW w:w="960" w:type="dxa"/>
            <w:shd w:val="clear" w:color="auto" w:fill="auto"/>
            <w:noWrap/>
            <w:vAlign w:val="bottom"/>
            <w:hideMark/>
          </w:tcPr>
          <w:p w14:paraId="660A8CEB"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1061" w:type="dxa"/>
            <w:shd w:val="clear" w:color="auto" w:fill="auto"/>
            <w:noWrap/>
            <w:vAlign w:val="bottom"/>
            <w:hideMark/>
          </w:tcPr>
          <w:p w14:paraId="3DCD0DBB"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11</w:t>
            </w:r>
          </w:p>
        </w:tc>
        <w:tc>
          <w:tcPr>
            <w:tcW w:w="960" w:type="dxa"/>
            <w:shd w:val="clear" w:color="auto" w:fill="auto"/>
            <w:noWrap/>
            <w:vAlign w:val="bottom"/>
            <w:hideMark/>
          </w:tcPr>
          <w:p w14:paraId="7E948A28"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3852ED2"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55</w:t>
            </w:r>
          </w:p>
        </w:tc>
        <w:tc>
          <w:tcPr>
            <w:tcW w:w="1547" w:type="dxa"/>
            <w:vMerge w:val="restart"/>
            <w:tcBorders>
              <w:top w:val="single" w:sz="4" w:space="0" w:color="auto"/>
              <w:left w:val="single" w:sz="4" w:space="0" w:color="auto"/>
              <w:right w:val="single" w:sz="4" w:space="0" w:color="auto"/>
            </w:tcBorders>
            <w:vAlign w:val="center"/>
          </w:tcPr>
          <w:p w14:paraId="476205BB" w14:textId="1FCE8F60" w:rsidR="00211FC5" w:rsidRPr="00211FC5" w:rsidRDefault="00211FC5" w:rsidP="00211FC5">
            <w:pPr>
              <w:jc w:val="center"/>
              <w:rPr>
                <w:rFonts w:asciiTheme="minorHAnsi" w:hAnsiTheme="minorHAnsi" w:cstheme="minorHAnsi"/>
                <w:color w:val="000000"/>
              </w:rPr>
            </w:pPr>
            <w:r>
              <w:rPr>
                <w:rFonts w:asciiTheme="minorHAnsi" w:hAnsiTheme="minorHAnsi" w:cstheme="minorHAnsi" w:hint="cs"/>
                <w:color w:val="000000"/>
                <w:rtl/>
              </w:rPr>
              <w:t>جيم</w:t>
            </w:r>
          </w:p>
        </w:tc>
      </w:tr>
      <w:tr w:rsidR="00211FC5" w:rsidRPr="00211FC5" w14:paraId="5069FFA6" w14:textId="77777777" w:rsidTr="00211FC5">
        <w:trPr>
          <w:trHeight w:val="288"/>
        </w:trPr>
        <w:tc>
          <w:tcPr>
            <w:tcW w:w="1967" w:type="dxa"/>
            <w:shd w:val="clear" w:color="auto" w:fill="auto"/>
            <w:noWrap/>
            <w:vAlign w:val="bottom"/>
            <w:hideMark/>
          </w:tcPr>
          <w:p w14:paraId="2E9F0F49" w14:textId="30142C33"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32</w:t>
            </w:r>
          </w:p>
        </w:tc>
        <w:tc>
          <w:tcPr>
            <w:tcW w:w="960" w:type="dxa"/>
            <w:shd w:val="clear" w:color="auto" w:fill="auto"/>
            <w:noWrap/>
            <w:vAlign w:val="bottom"/>
            <w:hideMark/>
          </w:tcPr>
          <w:p w14:paraId="271A25C2"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11</w:t>
            </w:r>
          </w:p>
        </w:tc>
        <w:tc>
          <w:tcPr>
            <w:tcW w:w="1061" w:type="dxa"/>
            <w:shd w:val="clear" w:color="auto" w:fill="auto"/>
            <w:noWrap/>
            <w:vAlign w:val="bottom"/>
            <w:hideMark/>
          </w:tcPr>
          <w:p w14:paraId="31274CD5"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6</w:t>
            </w:r>
          </w:p>
        </w:tc>
        <w:tc>
          <w:tcPr>
            <w:tcW w:w="960" w:type="dxa"/>
            <w:shd w:val="clear" w:color="auto" w:fill="auto"/>
            <w:noWrap/>
            <w:vAlign w:val="bottom"/>
            <w:hideMark/>
          </w:tcPr>
          <w:p w14:paraId="4BBB5A8D"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D8D9E86"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54</w:t>
            </w:r>
          </w:p>
        </w:tc>
        <w:tc>
          <w:tcPr>
            <w:tcW w:w="1547" w:type="dxa"/>
            <w:vMerge/>
            <w:tcBorders>
              <w:left w:val="single" w:sz="4" w:space="0" w:color="auto"/>
              <w:right w:val="single" w:sz="4" w:space="0" w:color="auto"/>
            </w:tcBorders>
            <w:vAlign w:val="center"/>
          </w:tcPr>
          <w:p w14:paraId="6D076992" w14:textId="77777777" w:rsidR="00211FC5" w:rsidRPr="00211FC5" w:rsidRDefault="00211FC5" w:rsidP="00211FC5">
            <w:pPr>
              <w:jc w:val="center"/>
              <w:rPr>
                <w:rFonts w:asciiTheme="minorHAnsi" w:hAnsiTheme="minorHAnsi" w:cstheme="minorHAnsi"/>
                <w:color w:val="000000"/>
              </w:rPr>
            </w:pPr>
          </w:p>
        </w:tc>
      </w:tr>
      <w:tr w:rsidR="00211FC5" w:rsidRPr="00211FC5" w14:paraId="65412169" w14:textId="77777777" w:rsidTr="00211FC5">
        <w:trPr>
          <w:trHeight w:val="288"/>
        </w:trPr>
        <w:tc>
          <w:tcPr>
            <w:tcW w:w="1967" w:type="dxa"/>
            <w:shd w:val="clear" w:color="auto" w:fill="auto"/>
            <w:noWrap/>
            <w:vAlign w:val="bottom"/>
            <w:hideMark/>
          </w:tcPr>
          <w:p w14:paraId="0D8155A7" w14:textId="10F06EAE"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11</w:t>
            </w:r>
          </w:p>
        </w:tc>
        <w:tc>
          <w:tcPr>
            <w:tcW w:w="960" w:type="dxa"/>
            <w:shd w:val="clear" w:color="auto" w:fill="auto"/>
            <w:noWrap/>
            <w:vAlign w:val="bottom"/>
            <w:hideMark/>
          </w:tcPr>
          <w:p w14:paraId="35BFB30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1061" w:type="dxa"/>
            <w:shd w:val="clear" w:color="auto" w:fill="auto"/>
            <w:noWrap/>
            <w:vAlign w:val="bottom"/>
            <w:hideMark/>
          </w:tcPr>
          <w:p w14:paraId="1644A2D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960" w:type="dxa"/>
            <w:shd w:val="clear" w:color="auto" w:fill="auto"/>
            <w:noWrap/>
            <w:vAlign w:val="bottom"/>
            <w:hideMark/>
          </w:tcPr>
          <w:p w14:paraId="6228A10B"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BB71C01"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52</w:t>
            </w:r>
          </w:p>
        </w:tc>
        <w:tc>
          <w:tcPr>
            <w:tcW w:w="1547" w:type="dxa"/>
            <w:vMerge/>
            <w:tcBorders>
              <w:left w:val="single" w:sz="4" w:space="0" w:color="auto"/>
              <w:right w:val="single" w:sz="4" w:space="0" w:color="auto"/>
            </w:tcBorders>
            <w:vAlign w:val="center"/>
          </w:tcPr>
          <w:p w14:paraId="4ABA399D" w14:textId="77777777" w:rsidR="00211FC5" w:rsidRPr="00211FC5" w:rsidRDefault="00211FC5" w:rsidP="00211FC5">
            <w:pPr>
              <w:jc w:val="center"/>
              <w:rPr>
                <w:rFonts w:asciiTheme="minorHAnsi" w:hAnsiTheme="minorHAnsi" w:cstheme="minorHAnsi"/>
                <w:color w:val="000000"/>
              </w:rPr>
            </w:pPr>
          </w:p>
        </w:tc>
      </w:tr>
      <w:tr w:rsidR="00211FC5" w:rsidRPr="00211FC5" w14:paraId="3C0DBF58" w14:textId="77777777" w:rsidTr="00211FC5">
        <w:trPr>
          <w:trHeight w:val="288"/>
        </w:trPr>
        <w:tc>
          <w:tcPr>
            <w:tcW w:w="1967" w:type="dxa"/>
            <w:shd w:val="clear" w:color="auto" w:fill="FABF8F" w:themeFill="accent6" w:themeFillTint="99"/>
            <w:noWrap/>
            <w:vAlign w:val="bottom"/>
            <w:hideMark/>
          </w:tcPr>
          <w:p w14:paraId="0EABB022" w14:textId="72D2CDFE"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29</w:t>
            </w:r>
          </w:p>
        </w:tc>
        <w:tc>
          <w:tcPr>
            <w:tcW w:w="960" w:type="dxa"/>
            <w:shd w:val="clear" w:color="auto" w:fill="auto"/>
            <w:noWrap/>
            <w:vAlign w:val="bottom"/>
            <w:hideMark/>
          </w:tcPr>
          <w:p w14:paraId="6B90CCE9"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8</w:t>
            </w:r>
          </w:p>
        </w:tc>
        <w:tc>
          <w:tcPr>
            <w:tcW w:w="1061" w:type="dxa"/>
            <w:shd w:val="clear" w:color="auto" w:fill="auto"/>
            <w:noWrap/>
            <w:vAlign w:val="bottom"/>
            <w:hideMark/>
          </w:tcPr>
          <w:p w14:paraId="2D11E834"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11</w:t>
            </w:r>
          </w:p>
        </w:tc>
        <w:tc>
          <w:tcPr>
            <w:tcW w:w="960" w:type="dxa"/>
            <w:shd w:val="clear" w:color="auto" w:fill="auto"/>
            <w:noWrap/>
            <w:vAlign w:val="bottom"/>
            <w:hideMark/>
          </w:tcPr>
          <w:p w14:paraId="2305D98D"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277B4B7"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52</w:t>
            </w:r>
          </w:p>
        </w:tc>
        <w:tc>
          <w:tcPr>
            <w:tcW w:w="1547" w:type="dxa"/>
            <w:vMerge/>
            <w:tcBorders>
              <w:left w:val="single" w:sz="4" w:space="0" w:color="auto"/>
              <w:right w:val="single" w:sz="4" w:space="0" w:color="auto"/>
            </w:tcBorders>
            <w:vAlign w:val="center"/>
          </w:tcPr>
          <w:p w14:paraId="355C96B0" w14:textId="77777777" w:rsidR="00211FC5" w:rsidRPr="00211FC5" w:rsidRDefault="00211FC5" w:rsidP="00211FC5">
            <w:pPr>
              <w:jc w:val="center"/>
              <w:rPr>
                <w:rFonts w:asciiTheme="minorHAnsi" w:hAnsiTheme="minorHAnsi" w:cstheme="minorHAnsi"/>
                <w:color w:val="000000"/>
              </w:rPr>
            </w:pPr>
          </w:p>
        </w:tc>
      </w:tr>
      <w:tr w:rsidR="00211FC5" w:rsidRPr="00211FC5" w14:paraId="6FB791B3" w14:textId="77777777" w:rsidTr="00211FC5">
        <w:trPr>
          <w:trHeight w:val="288"/>
        </w:trPr>
        <w:tc>
          <w:tcPr>
            <w:tcW w:w="1967" w:type="dxa"/>
            <w:shd w:val="clear" w:color="auto" w:fill="C2D69B" w:themeFill="accent3" w:themeFillTint="99"/>
            <w:noWrap/>
            <w:vAlign w:val="bottom"/>
            <w:hideMark/>
          </w:tcPr>
          <w:p w14:paraId="767271E6" w14:textId="1D69DA6A" w:rsidR="00211FC5" w:rsidRPr="00211FC5" w:rsidRDefault="00211FC5" w:rsidP="00211FC5">
            <w:pPr>
              <w:jc w:val="center"/>
              <w:rPr>
                <w:rFonts w:asciiTheme="minorHAnsi" w:eastAsia="Times New Roman" w:hAnsiTheme="minorHAnsi" w:cstheme="minorHAnsi"/>
                <w:color w:val="000000"/>
                <w:highlight w:val="yellow"/>
                <w:lang w:eastAsia="en-US"/>
              </w:rPr>
            </w:pPr>
            <w:r w:rsidRPr="00211FC5">
              <w:rPr>
                <w:rFonts w:asciiTheme="minorHAnsi" w:eastAsia="Times New Roman" w:hAnsiTheme="minorHAnsi" w:cstheme="minorHAnsi"/>
                <w:color w:val="000000"/>
                <w:lang w:eastAsia="en-US"/>
              </w:rPr>
              <w:t>9</w:t>
            </w:r>
          </w:p>
        </w:tc>
        <w:tc>
          <w:tcPr>
            <w:tcW w:w="960" w:type="dxa"/>
            <w:shd w:val="clear" w:color="auto" w:fill="auto"/>
            <w:noWrap/>
            <w:vAlign w:val="bottom"/>
            <w:hideMark/>
          </w:tcPr>
          <w:p w14:paraId="1F888A14"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8</w:t>
            </w:r>
          </w:p>
        </w:tc>
        <w:tc>
          <w:tcPr>
            <w:tcW w:w="1061" w:type="dxa"/>
            <w:shd w:val="clear" w:color="auto" w:fill="auto"/>
            <w:noWrap/>
            <w:vAlign w:val="bottom"/>
            <w:hideMark/>
          </w:tcPr>
          <w:p w14:paraId="5425EF1D"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10</w:t>
            </w:r>
          </w:p>
        </w:tc>
        <w:tc>
          <w:tcPr>
            <w:tcW w:w="960" w:type="dxa"/>
            <w:shd w:val="clear" w:color="auto" w:fill="auto"/>
            <w:noWrap/>
            <w:vAlign w:val="bottom"/>
            <w:hideMark/>
          </w:tcPr>
          <w:p w14:paraId="4E53212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62C7591" w14:textId="77777777" w:rsidR="00211FC5" w:rsidRPr="00211FC5" w:rsidRDefault="00211FC5" w:rsidP="00211FC5">
            <w:pPr>
              <w:jc w:val="center"/>
              <w:rPr>
                <w:rFonts w:asciiTheme="minorHAnsi" w:eastAsia="Times New Roman" w:hAnsiTheme="minorHAnsi" w:cstheme="minorHAnsi"/>
                <w:color w:val="000000"/>
                <w:highlight w:val="yellow"/>
                <w:lang w:eastAsia="en-US"/>
              </w:rPr>
            </w:pPr>
            <w:r w:rsidRPr="00211FC5">
              <w:rPr>
                <w:rFonts w:asciiTheme="minorHAnsi" w:hAnsiTheme="minorHAnsi" w:cstheme="minorHAnsi"/>
                <w:color w:val="000000"/>
              </w:rPr>
              <w:t>52</w:t>
            </w:r>
          </w:p>
        </w:tc>
        <w:tc>
          <w:tcPr>
            <w:tcW w:w="1547" w:type="dxa"/>
            <w:vMerge/>
            <w:tcBorders>
              <w:left w:val="single" w:sz="4" w:space="0" w:color="auto"/>
              <w:right w:val="single" w:sz="4" w:space="0" w:color="auto"/>
            </w:tcBorders>
            <w:vAlign w:val="center"/>
          </w:tcPr>
          <w:p w14:paraId="52A71AAF" w14:textId="77777777" w:rsidR="00211FC5" w:rsidRPr="00211FC5" w:rsidRDefault="00211FC5" w:rsidP="00211FC5">
            <w:pPr>
              <w:jc w:val="center"/>
              <w:rPr>
                <w:rFonts w:asciiTheme="minorHAnsi" w:hAnsiTheme="minorHAnsi" w:cstheme="minorHAnsi"/>
                <w:color w:val="000000"/>
              </w:rPr>
            </w:pPr>
          </w:p>
        </w:tc>
      </w:tr>
      <w:tr w:rsidR="00211FC5" w:rsidRPr="00211FC5" w14:paraId="5F2ECD9A" w14:textId="77777777" w:rsidTr="00211FC5">
        <w:trPr>
          <w:trHeight w:val="288"/>
        </w:trPr>
        <w:tc>
          <w:tcPr>
            <w:tcW w:w="1967" w:type="dxa"/>
            <w:shd w:val="clear" w:color="auto" w:fill="FABF8F" w:themeFill="accent6" w:themeFillTint="99"/>
            <w:noWrap/>
            <w:vAlign w:val="bottom"/>
            <w:hideMark/>
          </w:tcPr>
          <w:p w14:paraId="705D6FF8" w14:textId="4B722FE1"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30</w:t>
            </w:r>
          </w:p>
        </w:tc>
        <w:tc>
          <w:tcPr>
            <w:tcW w:w="960" w:type="dxa"/>
            <w:shd w:val="clear" w:color="auto" w:fill="auto"/>
            <w:noWrap/>
            <w:vAlign w:val="bottom"/>
            <w:hideMark/>
          </w:tcPr>
          <w:p w14:paraId="4B9D6552"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6</w:t>
            </w:r>
          </w:p>
        </w:tc>
        <w:tc>
          <w:tcPr>
            <w:tcW w:w="1061" w:type="dxa"/>
            <w:shd w:val="clear" w:color="auto" w:fill="auto"/>
            <w:noWrap/>
            <w:vAlign w:val="bottom"/>
            <w:hideMark/>
          </w:tcPr>
          <w:p w14:paraId="7044C7BD"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15</w:t>
            </w:r>
          </w:p>
        </w:tc>
        <w:tc>
          <w:tcPr>
            <w:tcW w:w="960" w:type="dxa"/>
            <w:shd w:val="clear" w:color="auto" w:fill="auto"/>
            <w:noWrap/>
            <w:vAlign w:val="bottom"/>
            <w:hideMark/>
          </w:tcPr>
          <w:p w14:paraId="19AF8C68"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EAA373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52</w:t>
            </w:r>
          </w:p>
        </w:tc>
        <w:tc>
          <w:tcPr>
            <w:tcW w:w="1547" w:type="dxa"/>
            <w:vMerge/>
            <w:tcBorders>
              <w:left w:val="single" w:sz="4" w:space="0" w:color="auto"/>
              <w:right w:val="single" w:sz="4" w:space="0" w:color="auto"/>
            </w:tcBorders>
            <w:vAlign w:val="center"/>
          </w:tcPr>
          <w:p w14:paraId="6316079C" w14:textId="77777777" w:rsidR="00211FC5" w:rsidRPr="00211FC5" w:rsidRDefault="00211FC5" w:rsidP="00211FC5">
            <w:pPr>
              <w:jc w:val="center"/>
              <w:rPr>
                <w:rFonts w:asciiTheme="minorHAnsi" w:hAnsiTheme="minorHAnsi" w:cstheme="minorHAnsi"/>
                <w:color w:val="000000"/>
              </w:rPr>
            </w:pPr>
          </w:p>
        </w:tc>
      </w:tr>
      <w:tr w:rsidR="00211FC5" w:rsidRPr="00211FC5" w14:paraId="7ED6C1D8" w14:textId="77777777" w:rsidTr="00211FC5">
        <w:trPr>
          <w:trHeight w:val="288"/>
        </w:trPr>
        <w:tc>
          <w:tcPr>
            <w:tcW w:w="1967" w:type="dxa"/>
            <w:shd w:val="clear" w:color="auto" w:fill="C2D69B" w:themeFill="accent3" w:themeFillTint="99"/>
            <w:noWrap/>
            <w:vAlign w:val="bottom"/>
            <w:hideMark/>
          </w:tcPr>
          <w:p w14:paraId="2192764C" w14:textId="76A3A9BF"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39</w:t>
            </w:r>
          </w:p>
        </w:tc>
        <w:tc>
          <w:tcPr>
            <w:tcW w:w="960" w:type="dxa"/>
            <w:shd w:val="clear" w:color="auto" w:fill="auto"/>
            <w:noWrap/>
            <w:vAlign w:val="bottom"/>
            <w:hideMark/>
          </w:tcPr>
          <w:p w14:paraId="0AD103ED"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1061" w:type="dxa"/>
            <w:shd w:val="clear" w:color="auto" w:fill="auto"/>
            <w:noWrap/>
            <w:vAlign w:val="bottom"/>
            <w:hideMark/>
          </w:tcPr>
          <w:p w14:paraId="0F904510"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960" w:type="dxa"/>
            <w:shd w:val="clear" w:color="auto" w:fill="auto"/>
            <w:noWrap/>
            <w:vAlign w:val="bottom"/>
            <w:hideMark/>
          </w:tcPr>
          <w:p w14:paraId="2CB61F80"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1E33D2D"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51</w:t>
            </w:r>
          </w:p>
        </w:tc>
        <w:tc>
          <w:tcPr>
            <w:tcW w:w="1547" w:type="dxa"/>
            <w:vMerge/>
            <w:tcBorders>
              <w:left w:val="single" w:sz="4" w:space="0" w:color="auto"/>
              <w:right w:val="single" w:sz="4" w:space="0" w:color="auto"/>
            </w:tcBorders>
            <w:vAlign w:val="center"/>
          </w:tcPr>
          <w:p w14:paraId="65AED2B8" w14:textId="77777777" w:rsidR="00211FC5" w:rsidRPr="00211FC5" w:rsidRDefault="00211FC5" w:rsidP="00211FC5">
            <w:pPr>
              <w:jc w:val="center"/>
              <w:rPr>
                <w:rFonts w:asciiTheme="minorHAnsi" w:hAnsiTheme="minorHAnsi" w:cstheme="minorHAnsi"/>
                <w:color w:val="000000"/>
              </w:rPr>
            </w:pPr>
          </w:p>
        </w:tc>
      </w:tr>
      <w:tr w:rsidR="00211FC5" w:rsidRPr="00211FC5" w14:paraId="5AF31335" w14:textId="77777777" w:rsidTr="00211FC5">
        <w:trPr>
          <w:trHeight w:val="288"/>
        </w:trPr>
        <w:tc>
          <w:tcPr>
            <w:tcW w:w="1967" w:type="dxa"/>
            <w:shd w:val="clear" w:color="auto" w:fill="FABF8F" w:themeFill="accent6" w:themeFillTint="99"/>
            <w:noWrap/>
            <w:vAlign w:val="bottom"/>
            <w:hideMark/>
          </w:tcPr>
          <w:p w14:paraId="0FD775FB" w14:textId="7FB3EA83"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34</w:t>
            </w:r>
          </w:p>
        </w:tc>
        <w:tc>
          <w:tcPr>
            <w:tcW w:w="960" w:type="dxa"/>
            <w:shd w:val="clear" w:color="auto" w:fill="auto"/>
            <w:noWrap/>
            <w:vAlign w:val="bottom"/>
            <w:hideMark/>
          </w:tcPr>
          <w:p w14:paraId="57D5D10F"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10</w:t>
            </w:r>
          </w:p>
        </w:tc>
        <w:tc>
          <w:tcPr>
            <w:tcW w:w="1061" w:type="dxa"/>
            <w:shd w:val="clear" w:color="auto" w:fill="auto"/>
            <w:noWrap/>
            <w:vAlign w:val="bottom"/>
            <w:hideMark/>
          </w:tcPr>
          <w:p w14:paraId="40C2131A"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5</w:t>
            </w:r>
          </w:p>
        </w:tc>
        <w:tc>
          <w:tcPr>
            <w:tcW w:w="960" w:type="dxa"/>
            <w:shd w:val="clear" w:color="auto" w:fill="auto"/>
            <w:noWrap/>
            <w:vAlign w:val="bottom"/>
            <w:hideMark/>
          </w:tcPr>
          <w:p w14:paraId="7063A070"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90EDA48"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50</w:t>
            </w:r>
          </w:p>
        </w:tc>
        <w:tc>
          <w:tcPr>
            <w:tcW w:w="1547" w:type="dxa"/>
            <w:vMerge/>
            <w:tcBorders>
              <w:left w:val="single" w:sz="4" w:space="0" w:color="auto"/>
              <w:right w:val="single" w:sz="4" w:space="0" w:color="auto"/>
            </w:tcBorders>
            <w:vAlign w:val="center"/>
          </w:tcPr>
          <w:p w14:paraId="09D8BDB9" w14:textId="77777777" w:rsidR="00211FC5" w:rsidRPr="00211FC5" w:rsidRDefault="00211FC5" w:rsidP="00211FC5">
            <w:pPr>
              <w:jc w:val="center"/>
              <w:rPr>
                <w:rFonts w:asciiTheme="minorHAnsi" w:hAnsiTheme="minorHAnsi" w:cstheme="minorHAnsi"/>
                <w:color w:val="000000"/>
              </w:rPr>
            </w:pPr>
          </w:p>
        </w:tc>
      </w:tr>
      <w:tr w:rsidR="00211FC5" w:rsidRPr="00211FC5" w14:paraId="050CAB4E" w14:textId="77777777" w:rsidTr="00211FC5">
        <w:trPr>
          <w:trHeight w:val="288"/>
        </w:trPr>
        <w:tc>
          <w:tcPr>
            <w:tcW w:w="1967" w:type="dxa"/>
            <w:shd w:val="clear" w:color="auto" w:fill="auto"/>
            <w:noWrap/>
            <w:vAlign w:val="bottom"/>
            <w:hideMark/>
          </w:tcPr>
          <w:p w14:paraId="3A34D084" w14:textId="3438939C"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37</w:t>
            </w:r>
          </w:p>
        </w:tc>
        <w:tc>
          <w:tcPr>
            <w:tcW w:w="960" w:type="dxa"/>
            <w:shd w:val="clear" w:color="auto" w:fill="auto"/>
            <w:noWrap/>
            <w:vAlign w:val="bottom"/>
            <w:hideMark/>
          </w:tcPr>
          <w:p w14:paraId="17301FE3"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1061" w:type="dxa"/>
            <w:shd w:val="clear" w:color="auto" w:fill="auto"/>
            <w:noWrap/>
            <w:vAlign w:val="bottom"/>
            <w:hideMark/>
          </w:tcPr>
          <w:p w14:paraId="2C440954"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960" w:type="dxa"/>
            <w:shd w:val="clear" w:color="auto" w:fill="auto"/>
            <w:noWrap/>
            <w:vAlign w:val="bottom"/>
            <w:hideMark/>
          </w:tcPr>
          <w:p w14:paraId="4926A864"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B16EC1A"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49</w:t>
            </w:r>
          </w:p>
        </w:tc>
        <w:tc>
          <w:tcPr>
            <w:tcW w:w="1547" w:type="dxa"/>
            <w:vMerge/>
            <w:tcBorders>
              <w:left w:val="single" w:sz="4" w:space="0" w:color="auto"/>
              <w:right w:val="single" w:sz="4" w:space="0" w:color="auto"/>
            </w:tcBorders>
            <w:vAlign w:val="center"/>
          </w:tcPr>
          <w:p w14:paraId="696C913C" w14:textId="77777777" w:rsidR="00211FC5" w:rsidRPr="00211FC5" w:rsidRDefault="00211FC5" w:rsidP="00211FC5">
            <w:pPr>
              <w:jc w:val="center"/>
              <w:rPr>
                <w:rFonts w:asciiTheme="minorHAnsi" w:hAnsiTheme="minorHAnsi" w:cstheme="minorHAnsi"/>
                <w:color w:val="000000"/>
              </w:rPr>
            </w:pPr>
          </w:p>
        </w:tc>
      </w:tr>
      <w:tr w:rsidR="00211FC5" w:rsidRPr="00211FC5" w14:paraId="58FDE819" w14:textId="77777777" w:rsidTr="00211FC5">
        <w:trPr>
          <w:trHeight w:val="288"/>
        </w:trPr>
        <w:tc>
          <w:tcPr>
            <w:tcW w:w="1967" w:type="dxa"/>
            <w:shd w:val="clear" w:color="auto" w:fill="auto"/>
            <w:noWrap/>
            <w:vAlign w:val="bottom"/>
            <w:hideMark/>
          </w:tcPr>
          <w:p w14:paraId="52147027" w14:textId="7983906D"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10</w:t>
            </w:r>
          </w:p>
        </w:tc>
        <w:tc>
          <w:tcPr>
            <w:tcW w:w="960" w:type="dxa"/>
            <w:shd w:val="clear" w:color="auto" w:fill="auto"/>
            <w:noWrap/>
            <w:vAlign w:val="bottom"/>
            <w:hideMark/>
          </w:tcPr>
          <w:p w14:paraId="751F776F"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1061" w:type="dxa"/>
            <w:shd w:val="clear" w:color="auto" w:fill="auto"/>
            <w:noWrap/>
            <w:vAlign w:val="bottom"/>
            <w:hideMark/>
          </w:tcPr>
          <w:p w14:paraId="5335D369"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6</w:t>
            </w:r>
          </w:p>
        </w:tc>
        <w:tc>
          <w:tcPr>
            <w:tcW w:w="960" w:type="dxa"/>
            <w:shd w:val="clear" w:color="auto" w:fill="auto"/>
            <w:noWrap/>
            <w:vAlign w:val="bottom"/>
            <w:hideMark/>
          </w:tcPr>
          <w:p w14:paraId="52FC472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3434FA2"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49</w:t>
            </w:r>
          </w:p>
        </w:tc>
        <w:tc>
          <w:tcPr>
            <w:tcW w:w="1547" w:type="dxa"/>
            <w:vMerge/>
            <w:tcBorders>
              <w:left w:val="single" w:sz="4" w:space="0" w:color="auto"/>
              <w:right w:val="single" w:sz="4" w:space="0" w:color="auto"/>
            </w:tcBorders>
            <w:vAlign w:val="center"/>
          </w:tcPr>
          <w:p w14:paraId="3852BBDD" w14:textId="77777777" w:rsidR="00211FC5" w:rsidRPr="00211FC5" w:rsidRDefault="00211FC5" w:rsidP="00211FC5">
            <w:pPr>
              <w:jc w:val="center"/>
              <w:rPr>
                <w:rFonts w:asciiTheme="minorHAnsi" w:hAnsiTheme="minorHAnsi" w:cstheme="minorHAnsi"/>
                <w:color w:val="000000"/>
              </w:rPr>
            </w:pPr>
          </w:p>
        </w:tc>
      </w:tr>
      <w:tr w:rsidR="00211FC5" w:rsidRPr="00211FC5" w14:paraId="00E2CB09" w14:textId="77777777" w:rsidTr="00211FC5">
        <w:trPr>
          <w:trHeight w:val="288"/>
        </w:trPr>
        <w:tc>
          <w:tcPr>
            <w:tcW w:w="1967" w:type="dxa"/>
            <w:shd w:val="clear" w:color="auto" w:fill="FFFFFF" w:themeFill="background1"/>
            <w:noWrap/>
            <w:vAlign w:val="bottom"/>
            <w:hideMark/>
          </w:tcPr>
          <w:p w14:paraId="1FBDE69E" w14:textId="47488DBF"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22</w:t>
            </w:r>
          </w:p>
        </w:tc>
        <w:tc>
          <w:tcPr>
            <w:tcW w:w="960" w:type="dxa"/>
            <w:shd w:val="clear" w:color="auto" w:fill="FFFFFF" w:themeFill="background1"/>
            <w:noWrap/>
            <w:vAlign w:val="bottom"/>
            <w:hideMark/>
          </w:tcPr>
          <w:p w14:paraId="53450594"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4</w:t>
            </w:r>
          </w:p>
        </w:tc>
        <w:tc>
          <w:tcPr>
            <w:tcW w:w="1061" w:type="dxa"/>
            <w:shd w:val="clear" w:color="auto" w:fill="FFFFFF" w:themeFill="background1"/>
            <w:noWrap/>
            <w:vAlign w:val="bottom"/>
            <w:hideMark/>
          </w:tcPr>
          <w:p w14:paraId="19F3D1DD"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15</w:t>
            </w:r>
          </w:p>
        </w:tc>
        <w:tc>
          <w:tcPr>
            <w:tcW w:w="960" w:type="dxa"/>
            <w:shd w:val="clear" w:color="auto" w:fill="FFFFFF" w:themeFill="background1"/>
            <w:noWrap/>
            <w:vAlign w:val="bottom"/>
            <w:hideMark/>
          </w:tcPr>
          <w:p w14:paraId="39C6CF9F"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13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B17D36A"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49</w:t>
            </w:r>
          </w:p>
        </w:tc>
        <w:tc>
          <w:tcPr>
            <w:tcW w:w="1547" w:type="dxa"/>
            <w:vMerge/>
            <w:tcBorders>
              <w:left w:val="single" w:sz="4" w:space="0" w:color="auto"/>
              <w:bottom w:val="single" w:sz="4" w:space="0" w:color="auto"/>
              <w:right w:val="single" w:sz="4" w:space="0" w:color="auto"/>
            </w:tcBorders>
            <w:shd w:val="clear" w:color="auto" w:fill="FFFFFF" w:themeFill="background1"/>
            <w:vAlign w:val="center"/>
          </w:tcPr>
          <w:p w14:paraId="7C165C60" w14:textId="77777777" w:rsidR="00211FC5" w:rsidRPr="00211FC5" w:rsidRDefault="00211FC5" w:rsidP="00211FC5">
            <w:pPr>
              <w:jc w:val="center"/>
              <w:rPr>
                <w:rFonts w:asciiTheme="minorHAnsi" w:eastAsia="Times New Roman" w:hAnsiTheme="minorHAnsi" w:cstheme="minorHAnsi"/>
                <w:color w:val="000000"/>
                <w:lang w:eastAsia="en-US"/>
              </w:rPr>
            </w:pPr>
          </w:p>
        </w:tc>
      </w:tr>
      <w:tr w:rsidR="00211FC5" w:rsidRPr="00211FC5" w14:paraId="10868AA1" w14:textId="77777777" w:rsidTr="00211FC5">
        <w:trPr>
          <w:trHeight w:val="288"/>
        </w:trPr>
        <w:tc>
          <w:tcPr>
            <w:tcW w:w="1967" w:type="dxa"/>
            <w:shd w:val="clear" w:color="auto" w:fill="FABF8F" w:themeFill="accent6" w:themeFillTint="99"/>
            <w:noWrap/>
            <w:vAlign w:val="bottom"/>
            <w:hideMark/>
          </w:tcPr>
          <w:p w14:paraId="1793CB00" w14:textId="00ECCFDB"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8</w:t>
            </w:r>
          </w:p>
        </w:tc>
        <w:tc>
          <w:tcPr>
            <w:tcW w:w="960" w:type="dxa"/>
            <w:shd w:val="clear" w:color="auto" w:fill="F2F2F2" w:themeFill="background1" w:themeFillShade="F2"/>
            <w:noWrap/>
            <w:vAlign w:val="bottom"/>
            <w:hideMark/>
          </w:tcPr>
          <w:p w14:paraId="1BDF715B"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6</w:t>
            </w:r>
          </w:p>
        </w:tc>
        <w:tc>
          <w:tcPr>
            <w:tcW w:w="1061" w:type="dxa"/>
            <w:shd w:val="clear" w:color="auto" w:fill="F2F2F2" w:themeFill="background1" w:themeFillShade="F2"/>
            <w:noWrap/>
            <w:vAlign w:val="bottom"/>
            <w:hideMark/>
          </w:tcPr>
          <w:p w14:paraId="660C716E"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11</w:t>
            </w:r>
          </w:p>
        </w:tc>
        <w:tc>
          <w:tcPr>
            <w:tcW w:w="960" w:type="dxa"/>
            <w:shd w:val="clear" w:color="auto" w:fill="F2F2F2" w:themeFill="background1" w:themeFillShade="F2"/>
            <w:noWrap/>
            <w:vAlign w:val="bottom"/>
            <w:hideMark/>
          </w:tcPr>
          <w:p w14:paraId="06688875"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8</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347931E"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48</w:t>
            </w:r>
          </w:p>
        </w:tc>
        <w:tc>
          <w:tcPr>
            <w:tcW w:w="154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BE3E2F5" w14:textId="1BD8A211" w:rsidR="00211FC5" w:rsidRPr="00211FC5" w:rsidRDefault="00211FC5" w:rsidP="00211FC5">
            <w:pPr>
              <w:jc w:val="center"/>
              <w:rPr>
                <w:rFonts w:asciiTheme="minorHAnsi" w:hAnsiTheme="minorHAnsi" w:cstheme="minorHAnsi"/>
                <w:color w:val="000000"/>
              </w:rPr>
            </w:pPr>
            <w:r>
              <w:rPr>
                <w:rFonts w:asciiTheme="minorHAnsi" w:hAnsiTheme="minorHAnsi" w:cstheme="minorHAnsi" w:hint="cs"/>
                <w:color w:val="000000"/>
                <w:rtl/>
              </w:rPr>
              <w:t>دال</w:t>
            </w:r>
          </w:p>
        </w:tc>
      </w:tr>
      <w:tr w:rsidR="00211FC5" w:rsidRPr="00211FC5" w14:paraId="33606431" w14:textId="77777777" w:rsidTr="00211FC5">
        <w:trPr>
          <w:trHeight w:val="288"/>
        </w:trPr>
        <w:tc>
          <w:tcPr>
            <w:tcW w:w="1967" w:type="dxa"/>
            <w:shd w:val="clear" w:color="auto" w:fill="FABF8F" w:themeFill="accent6" w:themeFillTint="99"/>
            <w:noWrap/>
            <w:vAlign w:val="bottom"/>
            <w:hideMark/>
          </w:tcPr>
          <w:p w14:paraId="1480E9C1" w14:textId="1540135A"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w:t>
            </w:r>
          </w:p>
        </w:tc>
        <w:tc>
          <w:tcPr>
            <w:tcW w:w="960" w:type="dxa"/>
            <w:shd w:val="clear" w:color="auto" w:fill="F2F2F2" w:themeFill="background1" w:themeFillShade="F2"/>
            <w:noWrap/>
            <w:vAlign w:val="bottom"/>
            <w:hideMark/>
          </w:tcPr>
          <w:p w14:paraId="30944B7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8</w:t>
            </w:r>
          </w:p>
        </w:tc>
        <w:tc>
          <w:tcPr>
            <w:tcW w:w="1061" w:type="dxa"/>
            <w:shd w:val="clear" w:color="auto" w:fill="F2F2F2" w:themeFill="background1" w:themeFillShade="F2"/>
            <w:noWrap/>
            <w:vAlign w:val="bottom"/>
            <w:hideMark/>
          </w:tcPr>
          <w:p w14:paraId="44209AA1"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960" w:type="dxa"/>
            <w:shd w:val="clear" w:color="auto" w:fill="F2F2F2" w:themeFill="background1" w:themeFillShade="F2"/>
            <w:noWrap/>
            <w:vAlign w:val="bottom"/>
            <w:hideMark/>
          </w:tcPr>
          <w:p w14:paraId="31D8F060"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A8A5D34"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47</w:t>
            </w:r>
          </w:p>
        </w:tc>
        <w:tc>
          <w:tcPr>
            <w:tcW w:w="1547" w:type="dxa"/>
            <w:vMerge/>
            <w:tcBorders>
              <w:left w:val="single" w:sz="4" w:space="0" w:color="auto"/>
              <w:right w:val="single" w:sz="4" w:space="0" w:color="auto"/>
            </w:tcBorders>
            <w:shd w:val="clear" w:color="auto" w:fill="F2F2F2" w:themeFill="background1" w:themeFillShade="F2"/>
            <w:vAlign w:val="center"/>
          </w:tcPr>
          <w:p w14:paraId="592674EC" w14:textId="77777777" w:rsidR="00211FC5" w:rsidRPr="00211FC5" w:rsidRDefault="00211FC5" w:rsidP="00211FC5">
            <w:pPr>
              <w:jc w:val="center"/>
              <w:rPr>
                <w:rFonts w:asciiTheme="minorHAnsi" w:hAnsiTheme="minorHAnsi" w:cstheme="minorHAnsi"/>
                <w:color w:val="000000"/>
              </w:rPr>
            </w:pPr>
          </w:p>
        </w:tc>
      </w:tr>
      <w:tr w:rsidR="00211FC5" w:rsidRPr="00211FC5" w14:paraId="36318F67" w14:textId="77777777" w:rsidTr="00211FC5">
        <w:trPr>
          <w:trHeight w:val="288"/>
        </w:trPr>
        <w:tc>
          <w:tcPr>
            <w:tcW w:w="1967" w:type="dxa"/>
            <w:shd w:val="clear" w:color="auto" w:fill="F2F2F2" w:themeFill="background1" w:themeFillShade="F2"/>
            <w:noWrap/>
            <w:vAlign w:val="bottom"/>
            <w:hideMark/>
          </w:tcPr>
          <w:p w14:paraId="13F07934" w14:textId="79F3E34B"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25</w:t>
            </w:r>
          </w:p>
        </w:tc>
        <w:tc>
          <w:tcPr>
            <w:tcW w:w="960" w:type="dxa"/>
            <w:shd w:val="clear" w:color="auto" w:fill="F2F2F2" w:themeFill="background1" w:themeFillShade="F2"/>
            <w:noWrap/>
            <w:vAlign w:val="bottom"/>
            <w:hideMark/>
          </w:tcPr>
          <w:p w14:paraId="0B668BB9"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1061" w:type="dxa"/>
            <w:shd w:val="clear" w:color="auto" w:fill="F2F2F2" w:themeFill="background1" w:themeFillShade="F2"/>
            <w:noWrap/>
            <w:vAlign w:val="bottom"/>
            <w:hideMark/>
          </w:tcPr>
          <w:p w14:paraId="780AE4C9"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960" w:type="dxa"/>
            <w:shd w:val="clear" w:color="auto" w:fill="F2F2F2" w:themeFill="background1" w:themeFillShade="F2"/>
            <w:noWrap/>
            <w:vAlign w:val="bottom"/>
            <w:hideMark/>
          </w:tcPr>
          <w:p w14:paraId="54F7F625"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8</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7AABE7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47</w:t>
            </w:r>
          </w:p>
        </w:tc>
        <w:tc>
          <w:tcPr>
            <w:tcW w:w="1547" w:type="dxa"/>
            <w:vMerge/>
            <w:tcBorders>
              <w:left w:val="single" w:sz="4" w:space="0" w:color="auto"/>
              <w:right w:val="single" w:sz="4" w:space="0" w:color="auto"/>
            </w:tcBorders>
            <w:shd w:val="clear" w:color="auto" w:fill="F2F2F2" w:themeFill="background1" w:themeFillShade="F2"/>
            <w:vAlign w:val="center"/>
          </w:tcPr>
          <w:p w14:paraId="7C5A7B1A" w14:textId="77777777" w:rsidR="00211FC5" w:rsidRPr="00211FC5" w:rsidRDefault="00211FC5" w:rsidP="00211FC5">
            <w:pPr>
              <w:jc w:val="center"/>
              <w:rPr>
                <w:rFonts w:asciiTheme="minorHAnsi" w:hAnsiTheme="minorHAnsi" w:cstheme="minorHAnsi"/>
                <w:color w:val="000000"/>
              </w:rPr>
            </w:pPr>
          </w:p>
        </w:tc>
      </w:tr>
      <w:tr w:rsidR="00211FC5" w:rsidRPr="00211FC5" w14:paraId="6841AA86" w14:textId="77777777" w:rsidTr="00211FC5">
        <w:trPr>
          <w:trHeight w:val="288"/>
        </w:trPr>
        <w:tc>
          <w:tcPr>
            <w:tcW w:w="1967" w:type="dxa"/>
            <w:shd w:val="clear" w:color="auto" w:fill="C2D69B" w:themeFill="accent3" w:themeFillTint="99"/>
            <w:noWrap/>
            <w:vAlign w:val="bottom"/>
            <w:hideMark/>
          </w:tcPr>
          <w:p w14:paraId="26573F1B" w14:textId="1C63B906"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12</w:t>
            </w:r>
          </w:p>
        </w:tc>
        <w:tc>
          <w:tcPr>
            <w:tcW w:w="960" w:type="dxa"/>
            <w:shd w:val="clear" w:color="auto" w:fill="F2F2F2" w:themeFill="background1" w:themeFillShade="F2"/>
            <w:noWrap/>
            <w:vAlign w:val="bottom"/>
            <w:hideMark/>
          </w:tcPr>
          <w:p w14:paraId="7C1CBCBB"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6</w:t>
            </w:r>
          </w:p>
        </w:tc>
        <w:tc>
          <w:tcPr>
            <w:tcW w:w="1061" w:type="dxa"/>
            <w:shd w:val="clear" w:color="auto" w:fill="F2F2F2" w:themeFill="background1" w:themeFillShade="F2"/>
            <w:noWrap/>
            <w:vAlign w:val="bottom"/>
            <w:hideMark/>
          </w:tcPr>
          <w:p w14:paraId="75814E89"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10</w:t>
            </w:r>
          </w:p>
        </w:tc>
        <w:tc>
          <w:tcPr>
            <w:tcW w:w="960" w:type="dxa"/>
            <w:shd w:val="clear" w:color="auto" w:fill="F2F2F2" w:themeFill="background1" w:themeFillShade="F2"/>
            <w:noWrap/>
            <w:vAlign w:val="bottom"/>
            <w:hideMark/>
          </w:tcPr>
          <w:p w14:paraId="7CAEE0AA"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BEDE68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47</w:t>
            </w:r>
          </w:p>
        </w:tc>
        <w:tc>
          <w:tcPr>
            <w:tcW w:w="1547" w:type="dxa"/>
            <w:vMerge/>
            <w:tcBorders>
              <w:left w:val="single" w:sz="4" w:space="0" w:color="auto"/>
              <w:right w:val="single" w:sz="4" w:space="0" w:color="auto"/>
            </w:tcBorders>
            <w:shd w:val="clear" w:color="auto" w:fill="F2F2F2" w:themeFill="background1" w:themeFillShade="F2"/>
            <w:vAlign w:val="center"/>
          </w:tcPr>
          <w:p w14:paraId="50B26E63" w14:textId="77777777" w:rsidR="00211FC5" w:rsidRPr="00211FC5" w:rsidRDefault="00211FC5" w:rsidP="00211FC5">
            <w:pPr>
              <w:jc w:val="center"/>
              <w:rPr>
                <w:rFonts w:asciiTheme="minorHAnsi" w:hAnsiTheme="minorHAnsi" w:cstheme="minorHAnsi"/>
                <w:color w:val="000000"/>
              </w:rPr>
            </w:pPr>
          </w:p>
        </w:tc>
      </w:tr>
      <w:tr w:rsidR="00211FC5" w:rsidRPr="00211FC5" w14:paraId="0758E777" w14:textId="77777777" w:rsidTr="00211FC5">
        <w:trPr>
          <w:trHeight w:val="288"/>
        </w:trPr>
        <w:tc>
          <w:tcPr>
            <w:tcW w:w="1967" w:type="dxa"/>
            <w:shd w:val="clear" w:color="auto" w:fill="F2F2F2" w:themeFill="background1" w:themeFillShade="F2"/>
            <w:noWrap/>
            <w:vAlign w:val="bottom"/>
            <w:hideMark/>
          </w:tcPr>
          <w:p w14:paraId="3A37B95C" w14:textId="38BDC990"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13</w:t>
            </w:r>
          </w:p>
        </w:tc>
        <w:tc>
          <w:tcPr>
            <w:tcW w:w="960" w:type="dxa"/>
            <w:shd w:val="clear" w:color="auto" w:fill="F2F2F2" w:themeFill="background1" w:themeFillShade="F2"/>
            <w:noWrap/>
            <w:vAlign w:val="bottom"/>
            <w:hideMark/>
          </w:tcPr>
          <w:p w14:paraId="06CEE0BB"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1061" w:type="dxa"/>
            <w:shd w:val="clear" w:color="auto" w:fill="F2F2F2" w:themeFill="background1" w:themeFillShade="F2"/>
            <w:noWrap/>
            <w:vAlign w:val="bottom"/>
            <w:hideMark/>
          </w:tcPr>
          <w:p w14:paraId="49902566"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6</w:t>
            </w:r>
          </w:p>
        </w:tc>
        <w:tc>
          <w:tcPr>
            <w:tcW w:w="960" w:type="dxa"/>
            <w:shd w:val="clear" w:color="auto" w:fill="F2F2F2" w:themeFill="background1" w:themeFillShade="F2"/>
            <w:noWrap/>
            <w:vAlign w:val="bottom"/>
            <w:hideMark/>
          </w:tcPr>
          <w:p w14:paraId="39F78E20"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13</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91433D2"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46</w:t>
            </w:r>
          </w:p>
        </w:tc>
        <w:tc>
          <w:tcPr>
            <w:tcW w:w="1547" w:type="dxa"/>
            <w:vMerge/>
            <w:tcBorders>
              <w:left w:val="single" w:sz="4" w:space="0" w:color="auto"/>
              <w:right w:val="single" w:sz="4" w:space="0" w:color="auto"/>
            </w:tcBorders>
            <w:shd w:val="clear" w:color="auto" w:fill="F2F2F2" w:themeFill="background1" w:themeFillShade="F2"/>
            <w:vAlign w:val="center"/>
          </w:tcPr>
          <w:p w14:paraId="4714E318" w14:textId="77777777" w:rsidR="00211FC5" w:rsidRPr="00211FC5" w:rsidRDefault="00211FC5" w:rsidP="00211FC5">
            <w:pPr>
              <w:jc w:val="center"/>
              <w:rPr>
                <w:rFonts w:asciiTheme="minorHAnsi" w:hAnsiTheme="minorHAnsi" w:cstheme="minorHAnsi"/>
                <w:color w:val="000000"/>
              </w:rPr>
            </w:pPr>
          </w:p>
        </w:tc>
      </w:tr>
      <w:tr w:rsidR="00211FC5" w:rsidRPr="00211FC5" w14:paraId="63B864A8" w14:textId="77777777" w:rsidTr="00211FC5">
        <w:trPr>
          <w:trHeight w:val="288"/>
        </w:trPr>
        <w:tc>
          <w:tcPr>
            <w:tcW w:w="1967" w:type="dxa"/>
            <w:shd w:val="clear" w:color="auto" w:fill="F2F2F2" w:themeFill="background1" w:themeFillShade="F2"/>
            <w:noWrap/>
            <w:vAlign w:val="bottom"/>
            <w:hideMark/>
          </w:tcPr>
          <w:p w14:paraId="78B4683D" w14:textId="63EA5D7F"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35</w:t>
            </w:r>
          </w:p>
        </w:tc>
        <w:tc>
          <w:tcPr>
            <w:tcW w:w="960" w:type="dxa"/>
            <w:shd w:val="clear" w:color="auto" w:fill="F2F2F2" w:themeFill="background1" w:themeFillShade="F2"/>
            <w:noWrap/>
            <w:vAlign w:val="bottom"/>
            <w:hideMark/>
          </w:tcPr>
          <w:p w14:paraId="3C0FEC37"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5</w:t>
            </w:r>
          </w:p>
        </w:tc>
        <w:tc>
          <w:tcPr>
            <w:tcW w:w="1061" w:type="dxa"/>
            <w:shd w:val="clear" w:color="auto" w:fill="F2F2F2" w:themeFill="background1" w:themeFillShade="F2"/>
            <w:noWrap/>
            <w:vAlign w:val="bottom"/>
            <w:hideMark/>
          </w:tcPr>
          <w:p w14:paraId="49E5BDCA"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10</w:t>
            </w:r>
          </w:p>
        </w:tc>
        <w:tc>
          <w:tcPr>
            <w:tcW w:w="960" w:type="dxa"/>
            <w:shd w:val="clear" w:color="auto" w:fill="F2F2F2" w:themeFill="background1" w:themeFillShade="F2"/>
            <w:noWrap/>
            <w:vAlign w:val="bottom"/>
            <w:hideMark/>
          </w:tcPr>
          <w:p w14:paraId="0DAED6F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10</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77A4AE8"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45</w:t>
            </w:r>
          </w:p>
        </w:tc>
        <w:tc>
          <w:tcPr>
            <w:tcW w:w="1547" w:type="dxa"/>
            <w:vMerge/>
            <w:tcBorders>
              <w:left w:val="single" w:sz="4" w:space="0" w:color="auto"/>
              <w:right w:val="single" w:sz="4" w:space="0" w:color="auto"/>
            </w:tcBorders>
            <w:shd w:val="clear" w:color="auto" w:fill="F2F2F2" w:themeFill="background1" w:themeFillShade="F2"/>
            <w:vAlign w:val="center"/>
          </w:tcPr>
          <w:p w14:paraId="79985316" w14:textId="77777777" w:rsidR="00211FC5" w:rsidRPr="00211FC5" w:rsidRDefault="00211FC5" w:rsidP="00211FC5">
            <w:pPr>
              <w:jc w:val="center"/>
              <w:rPr>
                <w:rFonts w:asciiTheme="minorHAnsi" w:hAnsiTheme="minorHAnsi" w:cstheme="minorHAnsi"/>
                <w:color w:val="000000"/>
              </w:rPr>
            </w:pPr>
          </w:p>
        </w:tc>
      </w:tr>
      <w:tr w:rsidR="00211FC5" w:rsidRPr="00211FC5" w14:paraId="27D4A374" w14:textId="77777777" w:rsidTr="00211FC5">
        <w:trPr>
          <w:trHeight w:val="288"/>
        </w:trPr>
        <w:tc>
          <w:tcPr>
            <w:tcW w:w="1967" w:type="dxa"/>
            <w:shd w:val="clear" w:color="auto" w:fill="C2D69B" w:themeFill="accent3" w:themeFillTint="99"/>
            <w:noWrap/>
            <w:vAlign w:val="bottom"/>
            <w:hideMark/>
          </w:tcPr>
          <w:p w14:paraId="33FA7000" w14:textId="3111B63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18</w:t>
            </w:r>
          </w:p>
        </w:tc>
        <w:tc>
          <w:tcPr>
            <w:tcW w:w="960" w:type="dxa"/>
            <w:shd w:val="clear" w:color="auto" w:fill="F2F2F2" w:themeFill="background1" w:themeFillShade="F2"/>
            <w:noWrap/>
            <w:vAlign w:val="bottom"/>
            <w:hideMark/>
          </w:tcPr>
          <w:p w14:paraId="29A78A37"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5</w:t>
            </w:r>
          </w:p>
        </w:tc>
        <w:tc>
          <w:tcPr>
            <w:tcW w:w="1061" w:type="dxa"/>
            <w:shd w:val="clear" w:color="auto" w:fill="F2F2F2" w:themeFill="background1" w:themeFillShade="F2"/>
            <w:noWrap/>
            <w:vAlign w:val="bottom"/>
            <w:hideMark/>
          </w:tcPr>
          <w:p w14:paraId="1B6E2E22"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960" w:type="dxa"/>
            <w:shd w:val="clear" w:color="auto" w:fill="F2F2F2" w:themeFill="background1" w:themeFillShade="F2"/>
            <w:noWrap/>
            <w:vAlign w:val="bottom"/>
            <w:hideMark/>
          </w:tcPr>
          <w:p w14:paraId="6CEC9322"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12</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AD575D0"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45</w:t>
            </w:r>
          </w:p>
        </w:tc>
        <w:tc>
          <w:tcPr>
            <w:tcW w:w="1547" w:type="dxa"/>
            <w:vMerge/>
            <w:tcBorders>
              <w:left w:val="single" w:sz="4" w:space="0" w:color="auto"/>
              <w:right w:val="single" w:sz="4" w:space="0" w:color="auto"/>
            </w:tcBorders>
            <w:shd w:val="clear" w:color="auto" w:fill="F2F2F2" w:themeFill="background1" w:themeFillShade="F2"/>
            <w:vAlign w:val="center"/>
          </w:tcPr>
          <w:p w14:paraId="7A158D24" w14:textId="77777777" w:rsidR="00211FC5" w:rsidRPr="00211FC5" w:rsidRDefault="00211FC5" w:rsidP="00211FC5">
            <w:pPr>
              <w:jc w:val="center"/>
              <w:rPr>
                <w:rFonts w:asciiTheme="minorHAnsi" w:hAnsiTheme="minorHAnsi" w:cstheme="minorHAnsi"/>
                <w:color w:val="000000"/>
              </w:rPr>
            </w:pPr>
          </w:p>
        </w:tc>
      </w:tr>
      <w:tr w:rsidR="00211FC5" w:rsidRPr="00211FC5" w14:paraId="2272FD02" w14:textId="77777777" w:rsidTr="00211FC5">
        <w:trPr>
          <w:trHeight w:val="288"/>
        </w:trPr>
        <w:tc>
          <w:tcPr>
            <w:tcW w:w="1967" w:type="dxa"/>
            <w:shd w:val="clear" w:color="auto" w:fill="F2F2F2" w:themeFill="background1" w:themeFillShade="F2"/>
            <w:noWrap/>
            <w:vAlign w:val="bottom"/>
            <w:hideMark/>
          </w:tcPr>
          <w:p w14:paraId="238F58E8" w14:textId="0F883719"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26</w:t>
            </w:r>
          </w:p>
        </w:tc>
        <w:tc>
          <w:tcPr>
            <w:tcW w:w="960" w:type="dxa"/>
            <w:shd w:val="clear" w:color="auto" w:fill="F2F2F2" w:themeFill="background1" w:themeFillShade="F2"/>
            <w:noWrap/>
            <w:vAlign w:val="bottom"/>
            <w:hideMark/>
          </w:tcPr>
          <w:p w14:paraId="4D5285D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5</w:t>
            </w:r>
          </w:p>
        </w:tc>
        <w:tc>
          <w:tcPr>
            <w:tcW w:w="1061" w:type="dxa"/>
            <w:shd w:val="clear" w:color="auto" w:fill="F2F2F2" w:themeFill="background1" w:themeFillShade="F2"/>
            <w:noWrap/>
            <w:vAlign w:val="bottom"/>
            <w:hideMark/>
          </w:tcPr>
          <w:p w14:paraId="71E630FF"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11</w:t>
            </w:r>
          </w:p>
        </w:tc>
        <w:tc>
          <w:tcPr>
            <w:tcW w:w="960" w:type="dxa"/>
            <w:shd w:val="clear" w:color="auto" w:fill="F2F2F2" w:themeFill="background1" w:themeFillShade="F2"/>
            <w:noWrap/>
            <w:vAlign w:val="bottom"/>
            <w:hideMark/>
          </w:tcPr>
          <w:p w14:paraId="26F28BF1"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1EF6635"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44</w:t>
            </w:r>
          </w:p>
        </w:tc>
        <w:tc>
          <w:tcPr>
            <w:tcW w:w="1547" w:type="dxa"/>
            <w:vMerge/>
            <w:tcBorders>
              <w:left w:val="single" w:sz="4" w:space="0" w:color="auto"/>
              <w:right w:val="single" w:sz="4" w:space="0" w:color="auto"/>
            </w:tcBorders>
            <w:shd w:val="clear" w:color="auto" w:fill="F2F2F2" w:themeFill="background1" w:themeFillShade="F2"/>
            <w:vAlign w:val="center"/>
          </w:tcPr>
          <w:p w14:paraId="1830C7F0" w14:textId="77777777" w:rsidR="00211FC5" w:rsidRPr="00211FC5" w:rsidRDefault="00211FC5" w:rsidP="00211FC5">
            <w:pPr>
              <w:jc w:val="center"/>
              <w:rPr>
                <w:rFonts w:asciiTheme="minorHAnsi" w:hAnsiTheme="minorHAnsi" w:cstheme="minorHAnsi"/>
                <w:color w:val="000000"/>
              </w:rPr>
            </w:pPr>
          </w:p>
        </w:tc>
      </w:tr>
      <w:tr w:rsidR="00211FC5" w:rsidRPr="00211FC5" w14:paraId="722DFCD0" w14:textId="77777777" w:rsidTr="00211FC5">
        <w:trPr>
          <w:trHeight w:val="288"/>
        </w:trPr>
        <w:tc>
          <w:tcPr>
            <w:tcW w:w="1967" w:type="dxa"/>
            <w:shd w:val="clear" w:color="auto" w:fill="C2D69B" w:themeFill="accent3" w:themeFillTint="99"/>
            <w:noWrap/>
            <w:vAlign w:val="bottom"/>
            <w:hideMark/>
          </w:tcPr>
          <w:p w14:paraId="3060FFC2" w14:textId="77B668C2"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15</w:t>
            </w:r>
          </w:p>
        </w:tc>
        <w:tc>
          <w:tcPr>
            <w:tcW w:w="960" w:type="dxa"/>
            <w:shd w:val="clear" w:color="auto" w:fill="F2F2F2" w:themeFill="background1" w:themeFillShade="F2"/>
            <w:noWrap/>
            <w:vAlign w:val="bottom"/>
            <w:hideMark/>
          </w:tcPr>
          <w:p w14:paraId="14407AA3"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4</w:t>
            </w:r>
          </w:p>
        </w:tc>
        <w:tc>
          <w:tcPr>
            <w:tcW w:w="1061" w:type="dxa"/>
            <w:shd w:val="clear" w:color="auto" w:fill="F2F2F2" w:themeFill="background1" w:themeFillShade="F2"/>
            <w:noWrap/>
            <w:vAlign w:val="bottom"/>
            <w:hideMark/>
          </w:tcPr>
          <w:p w14:paraId="08AD8BC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11</w:t>
            </w:r>
          </w:p>
        </w:tc>
        <w:tc>
          <w:tcPr>
            <w:tcW w:w="960" w:type="dxa"/>
            <w:shd w:val="clear" w:color="auto" w:fill="F2F2F2" w:themeFill="background1" w:themeFillShade="F2"/>
            <w:noWrap/>
            <w:vAlign w:val="bottom"/>
            <w:hideMark/>
          </w:tcPr>
          <w:p w14:paraId="04D8B6A7"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10</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8E3D839"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44</w:t>
            </w:r>
          </w:p>
        </w:tc>
        <w:tc>
          <w:tcPr>
            <w:tcW w:w="1547" w:type="dxa"/>
            <w:vMerge/>
            <w:tcBorders>
              <w:left w:val="single" w:sz="4" w:space="0" w:color="auto"/>
              <w:right w:val="single" w:sz="4" w:space="0" w:color="auto"/>
            </w:tcBorders>
            <w:shd w:val="clear" w:color="auto" w:fill="F2F2F2" w:themeFill="background1" w:themeFillShade="F2"/>
            <w:vAlign w:val="center"/>
          </w:tcPr>
          <w:p w14:paraId="27EAB4FC" w14:textId="77777777" w:rsidR="00211FC5" w:rsidRPr="00211FC5" w:rsidRDefault="00211FC5" w:rsidP="00211FC5">
            <w:pPr>
              <w:jc w:val="center"/>
              <w:rPr>
                <w:rFonts w:asciiTheme="minorHAnsi" w:hAnsiTheme="minorHAnsi" w:cstheme="minorHAnsi"/>
                <w:color w:val="000000"/>
              </w:rPr>
            </w:pPr>
          </w:p>
        </w:tc>
      </w:tr>
      <w:tr w:rsidR="00211FC5" w:rsidRPr="00211FC5" w14:paraId="5E05B256" w14:textId="77777777" w:rsidTr="00211FC5">
        <w:trPr>
          <w:trHeight w:val="288"/>
        </w:trPr>
        <w:tc>
          <w:tcPr>
            <w:tcW w:w="1967" w:type="dxa"/>
            <w:shd w:val="clear" w:color="auto" w:fill="F2F2F2" w:themeFill="background1" w:themeFillShade="F2"/>
            <w:noWrap/>
            <w:vAlign w:val="bottom"/>
            <w:hideMark/>
          </w:tcPr>
          <w:p w14:paraId="6948AC86" w14:textId="2BDDE0E6"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17</w:t>
            </w:r>
          </w:p>
        </w:tc>
        <w:tc>
          <w:tcPr>
            <w:tcW w:w="960" w:type="dxa"/>
            <w:shd w:val="clear" w:color="auto" w:fill="F2F2F2" w:themeFill="background1" w:themeFillShade="F2"/>
            <w:noWrap/>
            <w:vAlign w:val="bottom"/>
            <w:hideMark/>
          </w:tcPr>
          <w:p w14:paraId="240F7F5A"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w:t>
            </w:r>
          </w:p>
        </w:tc>
        <w:tc>
          <w:tcPr>
            <w:tcW w:w="1061" w:type="dxa"/>
            <w:shd w:val="clear" w:color="auto" w:fill="F2F2F2" w:themeFill="background1" w:themeFillShade="F2"/>
            <w:noWrap/>
            <w:vAlign w:val="bottom"/>
            <w:hideMark/>
          </w:tcPr>
          <w:p w14:paraId="01955E0A"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12</w:t>
            </w:r>
          </w:p>
        </w:tc>
        <w:tc>
          <w:tcPr>
            <w:tcW w:w="960" w:type="dxa"/>
            <w:shd w:val="clear" w:color="auto" w:fill="F2F2F2" w:themeFill="background1" w:themeFillShade="F2"/>
            <w:noWrap/>
            <w:vAlign w:val="bottom"/>
            <w:hideMark/>
          </w:tcPr>
          <w:p w14:paraId="5A455DE7"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11</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2305092"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44</w:t>
            </w:r>
          </w:p>
        </w:tc>
        <w:tc>
          <w:tcPr>
            <w:tcW w:w="1547" w:type="dxa"/>
            <w:vMerge/>
            <w:tcBorders>
              <w:left w:val="single" w:sz="4" w:space="0" w:color="auto"/>
              <w:right w:val="single" w:sz="4" w:space="0" w:color="auto"/>
            </w:tcBorders>
            <w:shd w:val="clear" w:color="auto" w:fill="F2F2F2" w:themeFill="background1" w:themeFillShade="F2"/>
            <w:vAlign w:val="center"/>
          </w:tcPr>
          <w:p w14:paraId="028FB454" w14:textId="77777777" w:rsidR="00211FC5" w:rsidRPr="00211FC5" w:rsidRDefault="00211FC5" w:rsidP="00211FC5">
            <w:pPr>
              <w:jc w:val="center"/>
              <w:rPr>
                <w:rFonts w:asciiTheme="minorHAnsi" w:hAnsiTheme="minorHAnsi" w:cstheme="minorHAnsi"/>
                <w:color w:val="000000"/>
              </w:rPr>
            </w:pPr>
          </w:p>
        </w:tc>
      </w:tr>
      <w:tr w:rsidR="00211FC5" w:rsidRPr="00211FC5" w14:paraId="524B1EEE" w14:textId="77777777" w:rsidTr="00211FC5">
        <w:trPr>
          <w:trHeight w:val="288"/>
        </w:trPr>
        <w:tc>
          <w:tcPr>
            <w:tcW w:w="1967" w:type="dxa"/>
            <w:shd w:val="clear" w:color="auto" w:fill="F2F2F2" w:themeFill="background1" w:themeFillShade="F2"/>
            <w:noWrap/>
            <w:vAlign w:val="bottom"/>
            <w:hideMark/>
          </w:tcPr>
          <w:p w14:paraId="1B977373" w14:textId="7A09AC4C"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36</w:t>
            </w:r>
          </w:p>
        </w:tc>
        <w:tc>
          <w:tcPr>
            <w:tcW w:w="960" w:type="dxa"/>
            <w:shd w:val="clear" w:color="auto" w:fill="F2F2F2" w:themeFill="background1" w:themeFillShade="F2"/>
            <w:noWrap/>
            <w:vAlign w:val="bottom"/>
            <w:hideMark/>
          </w:tcPr>
          <w:p w14:paraId="1C34C3F8"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4</w:t>
            </w:r>
          </w:p>
        </w:tc>
        <w:tc>
          <w:tcPr>
            <w:tcW w:w="1061" w:type="dxa"/>
            <w:shd w:val="clear" w:color="auto" w:fill="F2F2F2" w:themeFill="background1" w:themeFillShade="F2"/>
            <w:noWrap/>
            <w:vAlign w:val="bottom"/>
            <w:hideMark/>
          </w:tcPr>
          <w:p w14:paraId="2F4EB59F"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11</w:t>
            </w:r>
          </w:p>
        </w:tc>
        <w:tc>
          <w:tcPr>
            <w:tcW w:w="960" w:type="dxa"/>
            <w:shd w:val="clear" w:color="auto" w:fill="F2F2F2" w:themeFill="background1" w:themeFillShade="F2"/>
            <w:noWrap/>
            <w:vAlign w:val="bottom"/>
            <w:hideMark/>
          </w:tcPr>
          <w:p w14:paraId="799A54E6"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9</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0B7E7FA"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43</w:t>
            </w:r>
          </w:p>
        </w:tc>
        <w:tc>
          <w:tcPr>
            <w:tcW w:w="1547" w:type="dxa"/>
            <w:vMerge/>
            <w:tcBorders>
              <w:left w:val="single" w:sz="4" w:space="0" w:color="auto"/>
              <w:right w:val="single" w:sz="4" w:space="0" w:color="auto"/>
            </w:tcBorders>
            <w:shd w:val="clear" w:color="auto" w:fill="F2F2F2" w:themeFill="background1" w:themeFillShade="F2"/>
            <w:vAlign w:val="center"/>
          </w:tcPr>
          <w:p w14:paraId="1A4B355E" w14:textId="77777777" w:rsidR="00211FC5" w:rsidRPr="00211FC5" w:rsidRDefault="00211FC5" w:rsidP="00211FC5">
            <w:pPr>
              <w:jc w:val="center"/>
              <w:rPr>
                <w:rFonts w:asciiTheme="minorHAnsi" w:hAnsiTheme="minorHAnsi" w:cstheme="minorHAnsi"/>
                <w:color w:val="000000"/>
              </w:rPr>
            </w:pPr>
          </w:p>
        </w:tc>
      </w:tr>
      <w:tr w:rsidR="00211FC5" w:rsidRPr="00211FC5" w14:paraId="27F77AB2" w14:textId="77777777" w:rsidTr="00211FC5">
        <w:trPr>
          <w:trHeight w:val="288"/>
        </w:trPr>
        <w:tc>
          <w:tcPr>
            <w:tcW w:w="1967" w:type="dxa"/>
            <w:shd w:val="clear" w:color="auto" w:fill="FABF8F" w:themeFill="accent6" w:themeFillTint="99"/>
            <w:noWrap/>
            <w:vAlign w:val="bottom"/>
            <w:hideMark/>
          </w:tcPr>
          <w:p w14:paraId="26EE6AC0" w14:textId="6023CA28"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24</w:t>
            </w:r>
          </w:p>
        </w:tc>
        <w:tc>
          <w:tcPr>
            <w:tcW w:w="960" w:type="dxa"/>
            <w:shd w:val="clear" w:color="auto" w:fill="F2F2F2" w:themeFill="background1" w:themeFillShade="F2"/>
            <w:noWrap/>
            <w:vAlign w:val="bottom"/>
            <w:hideMark/>
          </w:tcPr>
          <w:p w14:paraId="23821CDF"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6</w:t>
            </w:r>
          </w:p>
        </w:tc>
        <w:tc>
          <w:tcPr>
            <w:tcW w:w="1061" w:type="dxa"/>
            <w:shd w:val="clear" w:color="auto" w:fill="F2F2F2" w:themeFill="background1" w:themeFillShade="F2"/>
            <w:noWrap/>
            <w:vAlign w:val="bottom"/>
            <w:hideMark/>
          </w:tcPr>
          <w:p w14:paraId="519A57AD"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8</w:t>
            </w:r>
          </w:p>
        </w:tc>
        <w:tc>
          <w:tcPr>
            <w:tcW w:w="960" w:type="dxa"/>
            <w:shd w:val="clear" w:color="auto" w:fill="F2F2F2" w:themeFill="background1" w:themeFillShade="F2"/>
            <w:noWrap/>
            <w:vAlign w:val="bottom"/>
            <w:hideMark/>
          </w:tcPr>
          <w:p w14:paraId="29225853"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8</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5A31EC7"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42</w:t>
            </w:r>
          </w:p>
        </w:tc>
        <w:tc>
          <w:tcPr>
            <w:tcW w:w="154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DE07BBA" w14:textId="77777777" w:rsidR="00211FC5" w:rsidRPr="00211FC5" w:rsidRDefault="00211FC5" w:rsidP="00211FC5">
            <w:pPr>
              <w:jc w:val="center"/>
              <w:rPr>
                <w:rFonts w:asciiTheme="minorHAnsi" w:hAnsiTheme="minorHAnsi" w:cstheme="minorHAnsi"/>
                <w:color w:val="000000"/>
              </w:rPr>
            </w:pPr>
          </w:p>
        </w:tc>
      </w:tr>
      <w:tr w:rsidR="00211FC5" w:rsidRPr="00211FC5" w14:paraId="778C7080" w14:textId="77777777" w:rsidTr="00211FC5">
        <w:trPr>
          <w:trHeight w:val="288"/>
        </w:trPr>
        <w:tc>
          <w:tcPr>
            <w:tcW w:w="1967" w:type="dxa"/>
            <w:shd w:val="clear" w:color="auto" w:fill="auto"/>
            <w:noWrap/>
            <w:vAlign w:val="bottom"/>
            <w:hideMark/>
          </w:tcPr>
          <w:p w14:paraId="5C2AB656" w14:textId="580F45C2"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33</w:t>
            </w:r>
          </w:p>
        </w:tc>
        <w:tc>
          <w:tcPr>
            <w:tcW w:w="960" w:type="dxa"/>
            <w:shd w:val="clear" w:color="auto" w:fill="auto"/>
            <w:noWrap/>
            <w:vAlign w:val="bottom"/>
            <w:hideMark/>
          </w:tcPr>
          <w:p w14:paraId="6DA1D981"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2</w:t>
            </w:r>
          </w:p>
        </w:tc>
        <w:tc>
          <w:tcPr>
            <w:tcW w:w="1061" w:type="dxa"/>
            <w:shd w:val="clear" w:color="auto" w:fill="auto"/>
            <w:noWrap/>
            <w:vAlign w:val="bottom"/>
            <w:hideMark/>
          </w:tcPr>
          <w:p w14:paraId="75222904"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5</w:t>
            </w:r>
          </w:p>
        </w:tc>
        <w:tc>
          <w:tcPr>
            <w:tcW w:w="960" w:type="dxa"/>
            <w:shd w:val="clear" w:color="auto" w:fill="auto"/>
            <w:noWrap/>
            <w:vAlign w:val="bottom"/>
            <w:hideMark/>
          </w:tcPr>
          <w:p w14:paraId="3A8C61BC"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68E36B3"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32</w:t>
            </w:r>
          </w:p>
        </w:tc>
        <w:tc>
          <w:tcPr>
            <w:tcW w:w="1547" w:type="dxa"/>
            <w:vMerge w:val="restart"/>
            <w:tcBorders>
              <w:top w:val="single" w:sz="4" w:space="0" w:color="auto"/>
              <w:left w:val="single" w:sz="4" w:space="0" w:color="auto"/>
              <w:right w:val="single" w:sz="4" w:space="0" w:color="auto"/>
            </w:tcBorders>
            <w:vAlign w:val="center"/>
          </w:tcPr>
          <w:p w14:paraId="08D53CDC" w14:textId="2AF262DE" w:rsidR="00211FC5" w:rsidRPr="00211FC5" w:rsidRDefault="00211FC5" w:rsidP="00211FC5">
            <w:pPr>
              <w:jc w:val="center"/>
              <w:rPr>
                <w:rFonts w:asciiTheme="minorHAnsi" w:hAnsiTheme="minorHAnsi" w:cstheme="minorHAnsi"/>
                <w:color w:val="000000"/>
              </w:rPr>
            </w:pPr>
            <w:r>
              <w:rPr>
                <w:rFonts w:asciiTheme="minorHAnsi" w:eastAsia="Times New Roman" w:hAnsiTheme="minorHAnsi" w:cstheme="minorHAnsi" w:hint="cs"/>
                <w:color w:val="000000"/>
                <w:rtl/>
                <w:lang w:eastAsia="en-US"/>
              </w:rPr>
              <w:t>هاء</w:t>
            </w:r>
          </w:p>
        </w:tc>
      </w:tr>
      <w:tr w:rsidR="00211FC5" w:rsidRPr="00211FC5" w14:paraId="0FBF3D8E" w14:textId="77777777" w:rsidTr="00211FC5">
        <w:trPr>
          <w:trHeight w:val="288"/>
        </w:trPr>
        <w:tc>
          <w:tcPr>
            <w:tcW w:w="1967" w:type="dxa"/>
            <w:shd w:val="clear" w:color="auto" w:fill="C2D69B" w:themeFill="accent3" w:themeFillTint="99"/>
            <w:noWrap/>
            <w:vAlign w:val="bottom"/>
            <w:hideMark/>
          </w:tcPr>
          <w:p w14:paraId="61C4E19F" w14:textId="5CF40C86"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38</w:t>
            </w:r>
          </w:p>
        </w:tc>
        <w:tc>
          <w:tcPr>
            <w:tcW w:w="960" w:type="dxa"/>
            <w:shd w:val="clear" w:color="auto" w:fill="auto"/>
            <w:noWrap/>
            <w:vAlign w:val="bottom"/>
            <w:hideMark/>
          </w:tcPr>
          <w:p w14:paraId="59108C2B"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w:t>
            </w:r>
          </w:p>
        </w:tc>
        <w:tc>
          <w:tcPr>
            <w:tcW w:w="1061" w:type="dxa"/>
            <w:shd w:val="clear" w:color="auto" w:fill="auto"/>
            <w:noWrap/>
            <w:vAlign w:val="bottom"/>
            <w:hideMark/>
          </w:tcPr>
          <w:p w14:paraId="6ADE2DAD"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7</w:t>
            </w:r>
          </w:p>
        </w:tc>
        <w:tc>
          <w:tcPr>
            <w:tcW w:w="960" w:type="dxa"/>
            <w:shd w:val="clear" w:color="auto" w:fill="auto"/>
            <w:noWrap/>
            <w:vAlign w:val="bottom"/>
            <w:hideMark/>
          </w:tcPr>
          <w:p w14:paraId="688B40CE"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eastAsia="Times New Roman" w:hAnsiTheme="minorHAnsi" w:cstheme="minorHAnsi"/>
                <w:color w:val="000000"/>
                <w:lang w:eastAsia="en-US"/>
              </w:rPr>
              <w:t>15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141FB86" w14:textId="77777777" w:rsidR="00211FC5" w:rsidRPr="00211FC5" w:rsidRDefault="00211FC5" w:rsidP="00211FC5">
            <w:pPr>
              <w:jc w:val="center"/>
              <w:rPr>
                <w:rFonts w:asciiTheme="minorHAnsi" w:eastAsia="Times New Roman" w:hAnsiTheme="minorHAnsi" w:cstheme="minorHAnsi"/>
                <w:color w:val="000000"/>
                <w:lang w:eastAsia="en-US"/>
              </w:rPr>
            </w:pPr>
            <w:r w:rsidRPr="00211FC5">
              <w:rPr>
                <w:rFonts w:asciiTheme="minorHAnsi" w:hAnsiTheme="minorHAnsi" w:cstheme="minorHAnsi"/>
                <w:color w:val="000000"/>
              </w:rPr>
              <w:t>32</w:t>
            </w:r>
          </w:p>
        </w:tc>
        <w:tc>
          <w:tcPr>
            <w:tcW w:w="1547" w:type="dxa"/>
            <w:vMerge/>
            <w:tcBorders>
              <w:left w:val="single" w:sz="4" w:space="0" w:color="auto"/>
              <w:bottom w:val="single" w:sz="4" w:space="0" w:color="auto"/>
              <w:right w:val="single" w:sz="4" w:space="0" w:color="auto"/>
            </w:tcBorders>
            <w:vAlign w:val="center"/>
          </w:tcPr>
          <w:p w14:paraId="1B5B119C" w14:textId="77777777" w:rsidR="00211FC5" w:rsidRPr="00211FC5" w:rsidRDefault="00211FC5" w:rsidP="00211FC5">
            <w:pPr>
              <w:jc w:val="center"/>
              <w:rPr>
                <w:rFonts w:asciiTheme="minorHAnsi" w:hAnsiTheme="minorHAnsi" w:cstheme="minorHAnsi"/>
                <w:color w:val="000000"/>
              </w:rPr>
            </w:pPr>
          </w:p>
        </w:tc>
      </w:tr>
    </w:tbl>
    <w:p w14:paraId="5EAC8ADB" w14:textId="77777777" w:rsidR="00211FC5" w:rsidRDefault="00211FC5" w:rsidP="00211FC5">
      <w:pPr>
        <w:pStyle w:val="ONUMA"/>
        <w:numPr>
          <w:ilvl w:val="0"/>
          <w:numId w:val="0"/>
        </w:numPr>
        <w:rPr>
          <w:rtl/>
        </w:rPr>
      </w:pPr>
    </w:p>
    <w:p w14:paraId="7B542C76" w14:textId="25F1E608" w:rsidR="00624753" w:rsidRDefault="00624753" w:rsidP="00624753">
      <w:pPr>
        <w:pStyle w:val="ONUMA"/>
      </w:pPr>
      <w:r>
        <w:rPr>
          <w:rFonts w:hint="cs"/>
          <w:rtl/>
          <w:lang w:val="fr-FR" w:bidi="ar-EG"/>
        </w:rPr>
        <w:t>و</w:t>
      </w:r>
      <w:r>
        <w:rPr>
          <w:rtl/>
        </w:rPr>
        <w:t xml:space="preserve">لمقارنة </w:t>
      </w:r>
      <w:r>
        <w:rPr>
          <w:rFonts w:hint="cs"/>
          <w:rtl/>
        </w:rPr>
        <w:t xml:space="preserve">عدد </w:t>
      </w:r>
      <w:r>
        <w:rPr>
          <w:rtl/>
        </w:rPr>
        <w:t xml:space="preserve">تفضيلات كل توصية، تم حساب النتيجة باستخدام </w:t>
      </w:r>
      <w:r>
        <w:rPr>
          <w:rFonts w:hint="cs"/>
          <w:rtl/>
        </w:rPr>
        <w:t>سلم</w:t>
      </w:r>
      <w:r>
        <w:rPr>
          <w:rtl/>
        </w:rPr>
        <w:t xml:space="preserve"> </w:t>
      </w:r>
      <w:proofErr w:type="spellStart"/>
      <w:r>
        <w:t>Borda</w:t>
      </w:r>
      <w:proofErr w:type="spellEnd"/>
      <w:r>
        <w:rPr>
          <w:rtl/>
        </w:rPr>
        <w:t xml:space="preserve">، وهو طريقة رياضية قياسية لمقارنة اختيارات التفضيلات. </w:t>
      </w:r>
      <w:r>
        <w:rPr>
          <w:rFonts w:hint="cs"/>
          <w:rtl/>
        </w:rPr>
        <w:t>و</w:t>
      </w:r>
      <w:r>
        <w:rPr>
          <w:rtl/>
        </w:rPr>
        <w:t xml:space="preserve">يخصص </w:t>
      </w:r>
      <w:r>
        <w:rPr>
          <w:rFonts w:hint="cs"/>
          <w:rtl/>
        </w:rPr>
        <w:t>سلم</w:t>
      </w:r>
      <w:r>
        <w:rPr>
          <w:rtl/>
        </w:rPr>
        <w:t xml:space="preserve"> </w:t>
      </w:r>
      <w:proofErr w:type="spellStart"/>
      <w:r>
        <w:t>Borda</w:t>
      </w:r>
      <w:proofErr w:type="spellEnd"/>
      <w:r>
        <w:rPr>
          <w:rtl/>
        </w:rPr>
        <w:t xml:space="preserve"> المستخدم هنا 3 نقاط للأصوات </w:t>
      </w:r>
      <w:r>
        <w:rPr>
          <w:rFonts w:hint="cs"/>
          <w:rtl/>
        </w:rPr>
        <w:t>المرتفعة</w:t>
      </w:r>
      <w:r>
        <w:rPr>
          <w:rtl/>
        </w:rPr>
        <w:t xml:space="preserve">، ونقطتان للأصوات المتوسطة، ونقطة واحدة للأصوات </w:t>
      </w:r>
      <w:r>
        <w:rPr>
          <w:rFonts w:hint="cs"/>
          <w:rtl/>
        </w:rPr>
        <w:t>المتدنية</w:t>
      </w:r>
      <w:r>
        <w:rPr>
          <w:rtl/>
        </w:rPr>
        <w:t xml:space="preserve">. </w:t>
      </w:r>
      <w:r>
        <w:rPr>
          <w:rFonts w:hint="cs"/>
          <w:rtl/>
        </w:rPr>
        <w:t>و</w:t>
      </w:r>
      <w:r>
        <w:rPr>
          <w:rtl/>
        </w:rPr>
        <w:t xml:space="preserve">نظرًا لأن </w:t>
      </w:r>
      <w:r w:rsidRPr="00624753">
        <w:rPr>
          <w:rtl/>
        </w:rPr>
        <w:t xml:space="preserve">فرقة العمل المعنية باستراتيجية تكنولوجيا المعلومات </w:t>
      </w:r>
      <w:r>
        <w:rPr>
          <w:rtl/>
        </w:rPr>
        <w:t xml:space="preserve">للمعايير </w:t>
      </w:r>
      <w:r>
        <w:rPr>
          <w:rFonts w:hint="cs"/>
          <w:rtl/>
        </w:rPr>
        <w:t>لديها موارد محدودة</w:t>
      </w:r>
      <w:r>
        <w:rPr>
          <w:rtl/>
        </w:rPr>
        <w:t xml:space="preserve"> وعدد كبير من التوصيات، فمن المنطقي البدء بالتركيز على التوصيات </w:t>
      </w:r>
      <w:r>
        <w:rPr>
          <w:rFonts w:hint="cs"/>
          <w:rtl/>
        </w:rPr>
        <w:t>التي تتلقى تأييدا كبيرا</w:t>
      </w:r>
      <w:r>
        <w:rPr>
          <w:rtl/>
        </w:rPr>
        <w:t>.</w:t>
      </w:r>
    </w:p>
    <w:p w14:paraId="673AB7E1" w14:textId="267A8A63" w:rsidR="00624753" w:rsidRDefault="00BA29C8" w:rsidP="00624753">
      <w:pPr>
        <w:pStyle w:val="ONUMA"/>
      </w:pPr>
      <w:r>
        <w:rPr>
          <w:rFonts w:hint="cs"/>
          <w:rtl/>
        </w:rPr>
        <w:t>و</w:t>
      </w:r>
      <w:r w:rsidR="00624753">
        <w:rPr>
          <w:rtl/>
        </w:rPr>
        <w:t xml:space="preserve">يقوم الجدول أعلاه بفرز التوصيات حسب </w:t>
      </w:r>
      <w:r>
        <w:rPr>
          <w:rFonts w:hint="cs"/>
          <w:rtl/>
        </w:rPr>
        <w:t>الدرجة التي تحصلت عليها في سلم</w:t>
      </w:r>
      <w:r w:rsidR="00624753">
        <w:rPr>
          <w:rtl/>
        </w:rPr>
        <w:t xml:space="preserve"> </w:t>
      </w:r>
      <w:proofErr w:type="spellStart"/>
      <w:r w:rsidR="00624753">
        <w:t>Borda</w:t>
      </w:r>
      <w:proofErr w:type="spellEnd"/>
      <w:r w:rsidR="00624753">
        <w:rPr>
          <w:rtl/>
        </w:rPr>
        <w:t xml:space="preserve">. ثم </w:t>
      </w:r>
      <w:r w:rsidR="0065280C">
        <w:rPr>
          <w:rFonts w:hint="cs"/>
          <w:rtl/>
        </w:rPr>
        <w:t>قُسمت</w:t>
      </w:r>
      <w:r w:rsidR="00624753">
        <w:rPr>
          <w:rtl/>
        </w:rPr>
        <w:t xml:space="preserve"> التوصيات</w:t>
      </w:r>
      <w:r w:rsidR="0065280C">
        <w:rPr>
          <w:rFonts w:hint="cs"/>
          <w:rtl/>
        </w:rPr>
        <w:t xml:space="preserve"> بعد ذلك</w:t>
      </w:r>
      <w:r w:rsidR="00624753">
        <w:rPr>
          <w:rtl/>
        </w:rPr>
        <w:t xml:space="preserve"> إلى فئات بناءً على النتيجة. </w:t>
      </w:r>
      <w:r w:rsidR="0065280C">
        <w:rPr>
          <w:rFonts w:hint="cs"/>
          <w:rtl/>
        </w:rPr>
        <w:t>و</w:t>
      </w:r>
      <w:r w:rsidR="00624753">
        <w:rPr>
          <w:rtl/>
        </w:rPr>
        <w:t>تحتوي الفئة أ</w:t>
      </w:r>
      <w:r w:rsidR="0065280C">
        <w:rPr>
          <w:rFonts w:hint="cs"/>
          <w:rtl/>
        </w:rPr>
        <w:t>لف</w:t>
      </w:r>
      <w:r w:rsidR="00624753">
        <w:rPr>
          <w:rtl/>
        </w:rPr>
        <w:t xml:space="preserve"> على توصيات </w:t>
      </w:r>
      <w:r w:rsidR="0065280C">
        <w:rPr>
          <w:rFonts w:hint="cs"/>
          <w:rtl/>
        </w:rPr>
        <w:t>تلقت أعلى مستويات التأييد</w:t>
      </w:r>
      <w:r w:rsidR="00624753">
        <w:rPr>
          <w:rtl/>
        </w:rPr>
        <w:t xml:space="preserve">، </w:t>
      </w:r>
      <w:r w:rsidR="0065280C">
        <w:rPr>
          <w:rFonts w:hint="cs"/>
          <w:rtl/>
        </w:rPr>
        <w:t>حيث كانت</w:t>
      </w:r>
      <w:r w:rsidR="00624753">
        <w:rPr>
          <w:rtl/>
        </w:rPr>
        <w:t xml:space="preserve"> </w:t>
      </w:r>
      <w:r w:rsidR="0065280C">
        <w:rPr>
          <w:rFonts w:hint="cs"/>
          <w:rtl/>
        </w:rPr>
        <w:t>أصواتها المرتفعة عديدة</w:t>
      </w:r>
      <w:r w:rsidR="00624753">
        <w:rPr>
          <w:rtl/>
        </w:rPr>
        <w:t xml:space="preserve"> </w:t>
      </w:r>
      <w:r w:rsidR="0065280C">
        <w:rPr>
          <w:rFonts w:hint="cs"/>
          <w:rtl/>
        </w:rPr>
        <w:t>مع انعدام</w:t>
      </w:r>
      <w:r w:rsidR="00624753">
        <w:rPr>
          <w:rtl/>
        </w:rPr>
        <w:t xml:space="preserve"> </w:t>
      </w:r>
      <w:r w:rsidR="0065280C">
        <w:rPr>
          <w:rFonts w:hint="cs"/>
          <w:rtl/>
        </w:rPr>
        <w:t>أي</w:t>
      </w:r>
      <w:r w:rsidR="00624753">
        <w:rPr>
          <w:rtl/>
        </w:rPr>
        <w:t xml:space="preserve"> أصوات </w:t>
      </w:r>
      <w:r w:rsidR="0065280C">
        <w:rPr>
          <w:rFonts w:hint="cs"/>
          <w:rtl/>
        </w:rPr>
        <w:t>متدنية</w:t>
      </w:r>
      <w:r w:rsidR="00624753">
        <w:rPr>
          <w:rtl/>
        </w:rPr>
        <w:t xml:space="preserve"> تقريبًا. </w:t>
      </w:r>
      <w:r w:rsidR="006C5E66">
        <w:rPr>
          <w:rFonts w:hint="cs"/>
          <w:rtl/>
        </w:rPr>
        <w:t>و</w:t>
      </w:r>
      <w:r w:rsidR="00624753">
        <w:rPr>
          <w:rtl/>
        </w:rPr>
        <w:t xml:space="preserve">تحظى </w:t>
      </w:r>
      <w:r w:rsidR="006C5E66">
        <w:rPr>
          <w:rFonts w:hint="cs"/>
          <w:rtl/>
        </w:rPr>
        <w:t>ال</w:t>
      </w:r>
      <w:r w:rsidR="00624753">
        <w:rPr>
          <w:rtl/>
        </w:rPr>
        <w:t xml:space="preserve">توصيات </w:t>
      </w:r>
      <w:r w:rsidR="006C5E66">
        <w:rPr>
          <w:rFonts w:hint="cs"/>
          <w:rtl/>
        </w:rPr>
        <w:t xml:space="preserve">في </w:t>
      </w:r>
      <w:r w:rsidR="00624753">
        <w:rPr>
          <w:rtl/>
        </w:rPr>
        <w:t>الفئة ب</w:t>
      </w:r>
      <w:r w:rsidR="006C5E66">
        <w:rPr>
          <w:rFonts w:hint="cs"/>
          <w:rtl/>
        </w:rPr>
        <w:t>اء</w:t>
      </w:r>
      <w:r w:rsidR="00624753">
        <w:rPr>
          <w:rtl/>
        </w:rPr>
        <w:t xml:space="preserve"> </w:t>
      </w:r>
      <w:r w:rsidR="006C5E66">
        <w:rPr>
          <w:rFonts w:hint="cs"/>
          <w:rtl/>
        </w:rPr>
        <w:t xml:space="preserve">بتأييد </w:t>
      </w:r>
      <w:r w:rsidR="00506532">
        <w:rPr>
          <w:rFonts w:hint="cs"/>
          <w:rtl/>
        </w:rPr>
        <w:t>معتدل إلى مرتفع</w:t>
      </w:r>
      <w:r w:rsidR="00624753">
        <w:rPr>
          <w:rtl/>
        </w:rPr>
        <w:t xml:space="preserve">، </w:t>
      </w:r>
      <w:r w:rsidR="006C5E66">
        <w:rPr>
          <w:rFonts w:hint="cs"/>
          <w:rtl/>
        </w:rPr>
        <w:t>حيث تشكلت</w:t>
      </w:r>
      <w:r w:rsidR="00624753">
        <w:rPr>
          <w:rtl/>
        </w:rPr>
        <w:t xml:space="preserve"> أصوات</w:t>
      </w:r>
      <w:r w:rsidR="006C5E66">
        <w:rPr>
          <w:rFonts w:hint="cs"/>
          <w:rtl/>
        </w:rPr>
        <w:t>ها</w:t>
      </w:r>
      <w:r w:rsidR="00624753">
        <w:rPr>
          <w:rtl/>
        </w:rPr>
        <w:t xml:space="preserve"> </w:t>
      </w:r>
      <w:r w:rsidR="006C5E66">
        <w:rPr>
          <w:rFonts w:hint="cs"/>
          <w:rtl/>
        </w:rPr>
        <w:t xml:space="preserve">المرتفعة </w:t>
      </w:r>
      <w:r w:rsidR="00624753">
        <w:rPr>
          <w:rtl/>
        </w:rPr>
        <w:t xml:space="preserve">من رقمين وعدد صغير من الأصوات </w:t>
      </w:r>
      <w:r w:rsidR="006C5E66">
        <w:rPr>
          <w:rFonts w:hint="cs"/>
          <w:rtl/>
        </w:rPr>
        <w:t>المتدنية</w:t>
      </w:r>
      <w:r w:rsidR="00624753">
        <w:rPr>
          <w:rtl/>
        </w:rPr>
        <w:t xml:space="preserve">. </w:t>
      </w:r>
      <w:r w:rsidR="00506532">
        <w:rPr>
          <w:rFonts w:hint="cs"/>
          <w:rtl/>
        </w:rPr>
        <w:t>و</w:t>
      </w:r>
      <w:r w:rsidR="00624753">
        <w:rPr>
          <w:rtl/>
        </w:rPr>
        <w:t xml:space="preserve">تحظى توصيات الفئة </w:t>
      </w:r>
      <w:r w:rsidR="00506532">
        <w:rPr>
          <w:rFonts w:hint="cs"/>
          <w:rtl/>
        </w:rPr>
        <w:t>جيم</w:t>
      </w:r>
      <w:r w:rsidR="00624753">
        <w:rPr>
          <w:rtl/>
        </w:rPr>
        <w:t xml:space="preserve"> </w:t>
      </w:r>
      <w:r w:rsidR="00506532">
        <w:rPr>
          <w:rFonts w:hint="cs"/>
          <w:rtl/>
        </w:rPr>
        <w:t>بتأييد</w:t>
      </w:r>
      <w:r w:rsidR="00624753">
        <w:rPr>
          <w:rtl/>
        </w:rPr>
        <w:t xml:space="preserve"> معتدل، </w:t>
      </w:r>
      <w:r w:rsidR="00506532">
        <w:rPr>
          <w:rFonts w:hint="cs"/>
          <w:rtl/>
        </w:rPr>
        <w:t>حيث كان عدد</w:t>
      </w:r>
      <w:r w:rsidR="00624753">
        <w:rPr>
          <w:rtl/>
        </w:rPr>
        <w:t xml:space="preserve"> أصوات</w:t>
      </w:r>
      <w:r w:rsidR="00506532">
        <w:rPr>
          <w:rFonts w:hint="cs"/>
          <w:rtl/>
        </w:rPr>
        <w:t>ها</w:t>
      </w:r>
      <w:r w:rsidR="00624753">
        <w:rPr>
          <w:rtl/>
        </w:rPr>
        <w:t xml:space="preserve"> </w:t>
      </w:r>
      <w:r w:rsidR="00506532">
        <w:rPr>
          <w:rFonts w:hint="cs"/>
          <w:rtl/>
        </w:rPr>
        <w:t>ال</w:t>
      </w:r>
      <w:r w:rsidR="00624753">
        <w:rPr>
          <w:rtl/>
        </w:rPr>
        <w:t xml:space="preserve">مرتفعة أكثر أو </w:t>
      </w:r>
      <w:r w:rsidR="002B2410">
        <w:rPr>
          <w:rFonts w:hint="cs"/>
          <w:rtl/>
        </w:rPr>
        <w:t>ي</w:t>
      </w:r>
      <w:r w:rsidR="00624753">
        <w:rPr>
          <w:rtl/>
        </w:rPr>
        <w:t xml:space="preserve">ساوي قليلاً الأصوات </w:t>
      </w:r>
      <w:r w:rsidR="00506532">
        <w:rPr>
          <w:rFonts w:hint="cs"/>
          <w:rtl/>
        </w:rPr>
        <w:t>المتدنية</w:t>
      </w:r>
      <w:r w:rsidR="00624753">
        <w:rPr>
          <w:rtl/>
        </w:rPr>
        <w:t xml:space="preserve">. </w:t>
      </w:r>
      <w:r w:rsidR="00506532">
        <w:rPr>
          <w:rFonts w:hint="cs"/>
          <w:rtl/>
        </w:rPr>
        <w:t>و</w:t>
      </w:r>
      <w:r w:rsidR="00624753">
        <w:rPr>
          <w:rtl/>
        </w:rPr>
        <w:t xml:space="preserve">تحظى توصيات الفئة </w:t>
      </w:r>
      <w:r w:rsidR="00506532">
        <w:rPr>
          <w:rFonts w:hint="cs"/>
          <w:rtl/>
        </w:rPr>
        <w:t>دال</w:t>
      </w:r>
      <w:r w:rsidR="00624753">
        <w:rPr>
          <w:rtl/>
        </w:rPr>
        <w:t xml:space="preserve"> </w:t>
      </w:r>
      <w:r w:rsidR="00506532">
        <w:rPr>
          <w:rFonts w:hint="cs"/>
          <w:rtl/>
        </w:rPr>
        <w:t>بتأييد</w:t>
      </w:r>
      <w:r w:rsidR="00624753">
        <w:rPr>
          <w:rtl/>
        </w:rPr>
        <w:t xml:space="preserve"> مختلط، </w:t>
      </w:r>
      <w:r w:rsidR="00506532">
        <w:rPr>
          <w:rFonts w:hint="cs"/>
          <w:rtl/>
        </w:rPr>
        <w:t>حيث كان</w:t>
      </w:r>
      <w:r w:rsidR="00624753">
        <w:rPr>
          <w:rtl/>
        </w:rPr>
        <w:t xml:space="preserve"> عدد </w:t>
      </w:r>
      <w:r w:rsidR="00506532">
        <w:rPr>
          <w:rFonts w:hint="cs"/>
          <w:rtl/>
        </w:rPr>
        <w:t>أصواتها</w:t>
      </w:r>
      <w:r w:rsidR="00624753">
        <w:rPr>
          <w:rtl/>
        </w:rPr>
        <w:t xml:space="preserve"> المتوسطة </w:t>
      </w:r>
      <w:r w:rsidR="00506532">
        <w:rPr>
          <w:rtl/>
        </w:rPr>
        <w:t xml:space="preserve">كبير </w:t>
      </w:r>
      <w:r w:rsidR="00624753">
        <w:rPr>
          <w:rtl/>
        </w:rPr>
        <w:t>ولكن بشكل عام</w:t>
      </w:r>
      <w:r w:rsidR="00506532">
        <w:rPr>
          <w:rFonts w:hint="cs"/>
          <w:rtl/>
        </w:rPr>
        <w:t xml:space="preserve"> كانت</w:t>
      </w:r>
      <w:r w:rsidR="00624753">
        <w:rPr>
          <w:rtl/>
        </w:rPr>
        <w:t xml:space="preserve"> أصوات</w:t>
      </w:r>
      <w:r w:rsidR="00506532">
        <w:rPr>
          <w:rFonts w:hint="cs"/>
          <w:rtl/>
        </w:rPr>
        <w:t>ها المتدنية</w:t>
      </w:r>
      <w:r w:rsidR="00624753">
        <w:rPr>
          <w:rtl/>
        </w:rPr>
        <w:t xml:space="preserve"> أكثر من الأصوات </w:t>
      </w:r>
      <w:r w:rsidR="00506532">
        <w:rPr>
          <w:rFonts w:hint="cs"/>
          <w:rtl/>
        </w:rPr>
        <w:t>المرتفعة</w:t>
      </w:r>
      <w:r w:rsidR="00624753">
        <w:rPr>
          <w:rtl/>
        </w:rPr>
        <w:t xml:space="preserve">. </w:t>
      </w:r>
      <w:r w:rsidR="00F95AE1">
        <w:rPr>
          <w:rFonts w:hint="cs"/>
          <w:rtl/>
        </w:rPr>
        <w:t>و</w:t>
      </w:r>
      <w:r w:rsidR="00624753">
        <w:rPr>
          <w:rtl/>
        </w:rPr>
        <w:t xml:space="preserve">تحظى توصيات الفئة </w:t>
      </w:r>
      <w:r w:rsidR="00F95AE1">
        <w:rPr>
          <w:rFonts w:hint="cs"/>
          <w:rtl/>
        </w:rPr>
        <w:t>هاء</w:t>
      </w:r>
      <w:r w:rsidR="00624753">
        <w:rPr>
          <w:rtl/>
        </w:rPr>
        <w:t xml:space="preserve"> </w:t>
      </w:r>
      <w:r w:rsidR="00F95AE1">
        <w:rPr>
          <w:rFonts w:hint="cs"/>
          <w:rtl/>
        </w:rPr>
        <w:t>بتأييد</w:t>
      </w:r>
      <w:r w:rsidR="00624753">
        <w:rPr>
          <w:rtl/>
        </w:rPr>
        <w:t xml:space="preserve"> محدود، </w:t>
      </w:r>
      <w:r w:rsidR="00F95AE1">
        <w:rPr>
          <w:rFonts w:hint="cs"/>
          <w:rtl/>
        </w:rPr>
        <w:t>حيث كان</w:t>
      </w:r>
      <w:r w:rsidR="00624753">
        <w:rPr>
          <w:rtl/>
        </w:rPr>
        <w:t xml:space="preserve"> عدد </w:t>
      </w:r>
      <w:r w:rsidR="00F95AE1">
        <w:rPr>
          <w:rFonts w:hint="cs"/>
          <w:rtl/>
        </w:rPr>
        <w:t>أصواتها</w:t>
      </w:r>
      <w:r w:rsidR="00624753">
        <w:rPr>
          <w:rtl/>
        </w:rPr>
        <w:t xml:space="preserve"> </w:t>
      </w:r>
      <w:r w:rsidR="00F95AE1">
        <w:rPr>
          <w:rFonts w:hint="cs"/>
          <w:rtl/>
        </w:rPr>
        <w:t>المرتفعة</w:t>
      </w:r>
      <w:r w:rsidR="00624753">
        <w:rPr>
          <w:rtl/>
        </w:rPr>
        <w:t xml:space="preserve"> أو المتوسطة</w:t>
      </w:r>
      <w:r w:rsidR="00F95AE1" w:rsidRPr="00F95AE1">
        <w:rPr>
          <w:rtl/>
        </w:rPr>
        <w:t xml:space="preserve"> قليل جدًا</w:t>
      </w:r>
      <w:r w:rsidR="00624753">
        <w:rPr>
          <w:rtl/>
        </w:rPr>
        <w:t>. ويرد النص الكامل للتوصيات في كل فئة في المرفق الثاني لهذه الوثيقة.</w:t>
      </w:r>
    </w:p>
    <w:p w14:paraId="52AD2D3F" w14:textId="6198C7ED" w:rsidR="00624753" w:rsidRDefault="002B2410" w:rsidP="00624753">
      <w:pPr>
        <w:pStyle w:val="ONUMA"/>
      </w:pPr>
      <w:r>
        <w:rPr>
          <w:rFonts w:hint="cs"/>
          <w:rtl/>
        </w:rPr>
        <w:t>وتوجد بين ا</w:t>
      </w:r>
      <w:r w:rsidR="00624753">
        <w:rPr>
          <w:rtl/>
        </w:rPr>
        <w:t xml:space="preserve">لفئتين </w:t>
      </w:r>
      <w:r>
        <w:rPr>
          <w:rFonts w:hint="cs"/>
          <w:rtl/>
        </w:rPr>
        <w:t>ألف وهاء</w:t>
      </w:r>
      <w:r w:rsidR="00624753">
        <w:rPr>
          <w:rtl/>
        </w:rPr>
        <w:t xml:space="preserve"> حدود </w:t>
      </w:r>
      <w:r>
        <w:rPr>
          <w:rFonts w:hint="cs"/>
          <w:rtl/>
        </w:rPr>
        <w:t>واضحة</w:t>
      </w:r>
      <w:r w:rsidR="00624753">
        <w:rPr>
          <w:rtl/>
        </w:rPr>
        <w:t xml:space="preserve"> جدًا، مع وجود فجوات ملحوظة في </w:t>
      </w:r>
      <w:r>
        <w:rPr>
          <w:rFonts w:hint="cs"/>
          <w:rtl/>
        </w:rPr>
        <w:t>الدرجات</w:t>
      </w:r>
      <w:r w:rsidR="00624753">
        <w:rPr>
          <w:rtl/>
        </w:rPr>
        <w:t xml:space="preserve">. </w:t>
      </w:r>
      <w:r>
        <w:rPr>
          <w:rFonts w:hint="cs"/>
          <w:rtl/>
        </w:rPr>
        <w:t xml:space="preserve">أما </w:t>
      </w:r>
      <w:r w:rsidR="008C2A2F">
        <w:rPr>
          <w:rFonts w:hint="cs"/>
          <w:rtl/>
        </w:rPr>
        <w:t>الحدود</w:t>
      </w:r>
      <w:r w:rsidR="00624753">
        <w:rPr>
          <w:rtl/>
        </w:rPr>
        <w:t xml:space="preserve"> الفاصل</w:t>
      </w:r>
      <w:r w:rsidR="008C2A2F">
        <w:rPr>
          <w:rFonts w:hint="cs"/>
          <w:rtl/>
        </w:rPr>
        <w:t>ة</w:t>
      </w:r>
      <w:r w:rsidR="00624753">
        <w:rPr>
          <w:rtl/>
        </w:rPr>
        <w:t xml:space="preserve"> بين </w:t>
      </w:r>
      <w:r>
        <w:rPr>
          <w:rFonts w:hint="cs"/>
          <w:rtl/>
        </w:rPr>
        <w:t>الفئتين جيم</w:t>
      </w:r>
      <w:r w:rsidR="00624753">
        <w:rPr>
          <w:rtl/>
        </w:rPr>
        <w:t xml:space="preserve"> و</w:t>
      </w:r>
      <w:r>
        <w:rPr>
          <w:rFonts w:hint="cs"/>
          <w:rtl/>
        </w:rPr>
        <w:t>دال فليست واضحة بما يكفي</w:t>
      </w:r>
      <w:r w:rsidR="00624753">
        <w:rPr>
          <w:rtl/>
        </w:rPr>
        <w:t xml:space="preserve">، ويمكن </w:t>
      </w:r>
      <w:r>
        <w:rPr>
          <w:rFonts w:hint="cs"/>
          <w:rtl/>
        </w:rPr>
        <w:t>أن تكون هناك حالة</w:t>
      </w:r>
      <w:r w:rsidR="00624753">
        <w:rPr>
          <w:rtl/>
        </w:rPr>
        <w:t xml:space="preserve"> </w:t>
      </w:r>
      <w:r>
        <w:rPr>
          <w:rFonts w:hint="cs"/>
          <w:rtl/>
        </w:rPr>
        <w:t>لتوصية تُعدل فيها</w:t>
      </w:r>
      <w:r w:rsidR="00624753">
        <w:rPr>
          <w:rtl/>
        </w:rPr>
        <w:t xml:space="preserve"> </w:t>
      </w:r>
      <w:r>
        <w:rPr>
          <w:rFonts w:hint="cs"/>
          <w:rtl/>
        </w:rPr>
        <w:t>الحدود إلى</w:t>
      </w:r>
      <w:r w:rsidR="00624753">
        <w:rPr>
          <w:rtl/>
        </w:rPr>
        <w:t xml:space="preserve"> أعلى أو أدنى، </w:t>
      </w:r>
      <w:r w:rsidR="00807F64">
        <w:rPr>
          <w:rFonts w:hint="cs"/>
          <w:rtl/>
        </w:rPr>
        <w:t>أ</w:t>
      </w:r>
      <w:r w:rsidR="00624753">
        <w:rPr>
          <w:rtl/>
        </w:rPr>
        <w:t>و</w:t>
      </w:r>
      <w:r w:rsidR="00807F64">
        <w:rPr>
          <w:rFonts w:hint="cs"/>
          <w:rtl/>
        </w:rPr>
        <w:t xml:space="preserve"> </w:t>
      </w:r>
      <w:r w:rsidR="00624753">
        <w:rPr>
          <w:rtl/>
        </w:rPr>
        <w:t xml:space="preserve">الجمع بين الفئتين، أو </w:t>
      </w:r>
      <w:r>
        <w:rPr>
          <w:rFonts w:hint="cs"/>
          <w:rtl/>
        </w:rPr>
        <w:t xml:space="preserve">استخدام </w:t>
      </w:r>
      <w:r w:rsidR="00624753">
        <w:rPr>
          <w:rtl/>
        </w:rPr>
        <w:t xml:space="preserve">طرق أخرى. </w:t>
      </w:r>
      <w:r>
        <w:rPr>
          <w:rFonts w:hint="cs"/>
          <w:rtl/>
        </w:rPr>
        <w:t>و</w:t>
      </w:r>
      <w:r w:rsidR="00624753">
        <w:rPr>
          <w:rtl/>
        </w:rPr>
        <w:t>على أي</w:t>
      </w:r>
      <w:r>
        <w:rPr>
          <w:rFonts w:hint="cs"/>
          <w:rtl/>
        </w:rPr>
        <w:t>ة</w:t>
      </w:r>
      <w:r w:rsidR="00624753">
        <w:rPr>
          <w:rtl/>
        </w:rPr>
        <w:t xml:space="preserve"> حال، قد تكون الاختلافات بين </w:t>
      </w:r>
      <w:r>
        <w:rPr>
          <w:rFonts w:hint="cs"/>
          <w:rtl/>
        </w:rPr>
        <w:t>الفئتين جيم ودال</w:t>
      </w:r>
      <w:r w:rsidR="00624753">
        <w:rPr>
          <w:rtl/>
        </w:rPr>
        <w:t xml:space="preserve"> أقل أهمية من مجرد ملاحظة أن العديد من العناصر في كلتا الفئتين </w:t>
      </w:r>
      <w:r>
        <w:rPr>
          <w:rFonts w:hint="cs"/>
          <w:rtl/>
        </w:rPr>
        <w:t>تتلقى</w:t>
      </w:r>
      <w:r w:rsidR="00624753">
        <w:rPr>
          <w:rtl/>
        </w:rPr>
        <w:t xml:space="preserve"> </w:t>
      </w:r>
      <w:r>
        <w:rPr>
          <w:rFonts w:hint="cs"/>
          <w:rtl/>
        </w:rPr>
        <w:t>تأييدا</w:t>
      </w:r>
      <w:r w:rsidR="00624753">
        <w:rPr>
          <w:rtl/>
        </w:rPr>
        <w:t xml:space="preserve"> واسع</w:t>
      </w:r>
      <w:r>
        <w:rPr>
          <w:rFonts w:hint="cs"/>
          <w:rtl/>
        </w:rPr>
        <w:t>ا</w:t>
      </w:r>
      <w:r w:rsidR="00624753">
        <w:rPr>
          <w:rtl/>
        </w:rPr>
        <w:t xml:space="preserve"> </w:t>
      </w:r>
      <w:r>
        <w:rPr>
          <w:rFonts w:hint="cs"/>
          <w:rtl/>
        </w:rPr>
        <w:t>من ا</w:t>
      </w:r>
      <w:r w:rsidR="00624753">
        <w:rPr>
          <w:rtl/>
        </w:rPr>
        <w:t xml:space="preserve">لأولوية المتوسطة أو </w:t>
      </w:r>
      <w:r>
        <w:rPr>
          <w:rFonts w:hint="cs"/>
          <w:rtl/>
        </w:rPr>
        <w:t>المرتفعة</w:t>
      </w:r>
      <w:r w:rsidR="00624753">
        <w:rPr>
          <w:rtl/>
        </w:rPr>
        <w:t>.</w:t>
      </w:r>
    </w:p>
    <w:p w14:paraId="58ADA30D" w14:textId="161823E0" w:rsidR="00624753" w:rsidRDefault="00624753" w:rsidP="00624753">
      <w:pPr>
        <w:pStyle w:val="ONUMA"/>
      </w:pPr>
      <w:r>
        <w:rPr>
          <w:rtl/>
        </w:rPr>
        <w:t xml:space="preserve">وتجدر الإشارة إلى أن المكاتب المشاركة لديها تفسيرات مختلفة لاستبيان </w:t>
      </w:r>
      <w:r w:rsidR="00807F64">
        <w:rPr>
          <w:rFonts w:hint="cs"/>
          <w:rtl/>
        </w:rPr>
        <w:t>الدراسة الاستقصائية</w:t>
      </w:r>
      <w:r>
        <w:rPr>
          <w:rtl/>
        </w:rPr>
        <w:t xml:space="preserve"> وتقييم التوصيات حسب معايير مختلفة. </w:t>
      </w:r>
      <w:r w:rsidR="00807F64">
        <w:rPr>
          <w:rFonts w:hint="cs"/>
          <w:rtl/>
        </w:rPr>
        <w:t>و</w:t>
      </w:r>
      <w:r w:rsidR="00E70950">
        <w:rPr>
          <w:rFonts w:hint="cs"/>
          <w:rtl/>
        </w:rPr>
        <w:t xml:space="preserve">بتصويتها المتدني </w:t>
      </w:r>
      <w:r>
        <w:rPr>
          <w:rtl/>
        </w:rPr>
        <w:t xml:space="preserve">أعطت بعض المكاتب أولوية </w:t>
      </w:r>
      <w:r w:rsidR="00807F64">
        <w:rPr>
          <w:rFonts w:hint="cs"/>
          <w:rtl/>
        </w:rPr>
        <w:t>متدنية</w:t>
      </w:r>
      <w:r>
        <w:rPr>
          <w:rtl/>
        </w:rPr>
        <w:t xml:space="preserve"> لتوصية لأنها نفذتها بالفعل، بينما </w:t>
      </w:r>
      <w:r w:rsidR="00E70950">
        <w:rPr>
          <w:rFonts w:hint="cs"/>
          <w:rtl/>
        </w:rPr>
        <w:t>أعطت بعض المكاتب الأخرى</w:t>
      </w:r>
      <w:r>
        <w:rPr>
          <w:rtl/>
        </w:rPr>
        <w:t xml:space="preserve"> أولوية </w:t>
      </w:r>
      <w:r w:rsidR="00E70950">
        <w:rPr>
          <w:rFonts w:hint="cs"/>
          <w:rtl/>
        </w:rPr>
        <w:t>مرتفعة</w:t>
      </w:r>
      <w:r>
        <w:rPr>
          <w:rtl/>
        </w:rPr>
        <w:t xml:space="preserve"> لأن التوصية لا تزال مهمة بالنسبة </w:t>
      </w:r>
      <w:r w:rsidR="00E70950">
        <w:rPr>
          <w:rFonts w:hint="cs"/>
          <w:rtl/>
        </w:rPr>
        <w:t>لها</w:t>
      </w:r>
      <w:r>
        <w:rPr>
          <w:rtl/>
        </w:rPr>
        <w:t xml:space="preserve">. </w:t>
      </w:r>
      <w:r w:rsidR="00E70950">
        <w:rPr>
          <w:rFonts w:hint="cs"/>
          <w:rtl/>
        </w:rPr>
        <w:t>و</w:t>
      </w:r>
      <w:r>
        <w:rPr>
          <w:rtl/>
        </w:rPr>
        <w:t xml:space="preserve">علاوة على ذلك، </w:t>
      </w:r>
      <w:r w:rsidR="00913E34">
        <w:rPr>
          <w:rFonts w:hint="cs"/>
          <w:rtl/>
        </w:rPr>
        <w:t>تختلف الأولوية التي أُعطيت للتوصية حسب</w:t>
      </w:r>
      <w:r>
        <w:rPr>
          <w:rtl/>
        </w:rPr>
        <w:t xml:space="preserve"> حالة الرقمنة في المكاتب. </w:t>
      </w:r>
      <w:r w:rsidR="003D25B0">
        <w:rPr>
          <w:rFonts w:hint="cs"/>
          <w:rtl/>
        </w:rPr>
        <w:t>ف</w:t>
      </w:r>
      <w:r>
        <w:rPr>
          <w:rtl/>
        </w:rPr>
        <w:t xml:space="preserve">على سبيل المثال، </w:t>
      </w:r>
      <w:r w:rsidR="00F921C9">
        <w:rPr>
          <w:rFonts w:hint="cs"/>
          <w:rtl/>
        </w:rPr>
        <w:t>أ</w:t>
      </w:r>
      <w:r w:rsidR="003D25B0">
        <w:rPr>
          <w:rFonts w:hint="cs"/>
          <w:rtl/>
        </w:rPr>
        <w:t xml:space="preserve">شارت </w:t>
      </w:r>
      <w:r w:rsidR="003D25B0">
        <w:rPr>
          <w:rtl/>
        </w:rPr>
        <w:t>بعض المكاتب التي لا تزال في المراحل الأولى من الرقمنة</w:t>
      </w:r>
      <w:r w:rsidR="003D25B0">
        <w:rPr>
          <w:rFonts w:hint="cs"/>
          <w:rtl/>
        </w:rPr>
        <w:t xml:space="preserve"> </w:t>
      </w:r>
      <w:r w:rsidR="00F921C9">
        <w:rPr>
          <w:rFonts w:hint="cs"/>
          <w:rtl/>
        </w:rPr>
        <w:t>إلى ا</w:t>
      </w:r>
      <w:r w:rsidR="003D25B0">
        <w:rPr>
          <w:rFonts w:hint="cs"/>
          <w:rtl/>
        </w:rPr>
        <w:t>لتوصية 3</w:t>
      </w:r>
      <w:r>
        <w:rPr>
          <w:rtl/>
        </w:rPr>
        <w:t xml:space="preserve"> (</w:t>
      </w:r>
      <w:r w:rsidR="00A15568" w:rsidRPr="00A15568">
        <w:rPr>
          <w:rtl/>
        </w:rPr>
        <w:t>إجراء عملية المسح الضوئي لبيانات الملكية الفكرية بتقنية التعرف الضوئي على الحروف</w:t>
      </w:r>
      <w:r>
        <w:rPr>
          <w:rtl/>
        </w:rPr>
        <w:t>)</w:t>
      </w:r>
      <w:r w:rsidR="00F921C9">
        <w:rPr>
          <w:rFonts w:hint="cs"/>
          <w:rtl/>
        </w:rPr>
        <w:t xml:space="preserve"> كأولوية</w:t>
      </w:r>
      <w:r>
        <w:rPr>
          <w:rtl/>
        </w:rPr>
        <w:t>.</w:t>
      </w:r>
    </w:p>
    <w:p w14:paraId="18550969" w14:textId="4D4FD9D8" w:rsidR="00624753" w:rsidRDefault="00B14F5B" w:rsidP="00624753">
      <w:pPr>
        <w:pStyle w:val="ONUMA"/>
      </w:pPr>
      <w:r>
        <w:rPr>
          <w:rFonts w:hint="cs"/>
          <w:rtl/>
        </w:rPr>
        <w:t>و</w:t>
      </w:r>
      <w:r w:rsidR="00624753">
        <w:rPr>
          <w:rtl/>
        </w:rPr>
        <w:t xml:space="preserve">تختلف تصنيفات الأولوية لتوصيات معينة </w:t>
      </w:r>
      <w:r>
        <w:rPr>
          <w:rFonts w:hint="cs"/>
          <w:rtl/>
        </w:rPr>
        <w:t>حسب</w:t>
      </w:r>
      <w:r w:rsidR="00624753">
        <w:rPr>
          <w:rtl/>
        </w:rPr>
        <w:t xml:space="preserve"> تغطية </w:t>
      </w:r>
      <w:r>
        <w:rPr>
          <w:rFonts w:hint="cs"/>
          <w:rtl/>
        </w:rPr>
        <w:t>مجالات عمل</w:t>
      </w:r>
      <w:r w:rsidR="00624753">
        <w:rPr>
          <w:rtl/>
        </w:rPr>
        <w:t xml:space="preserve"> </w:t>
      </w:r>
      <w:r>
        <w:rPr>
          <w:rFonts w:hint="cs"/>
          <w:rtl/>
        </w:rPr>
        <w:t>ا</w:t>
      </w:r>
      <w:r w:rsidR="00624753">
        <w:rPr>
          <w:rtl/>
        </w:rPr>
        <w:t xml:space="preserve">لمكاتب المشاركة، على سبيل المثال، بعض التوصيات المتعلقة بأعمال البراءات، والتي لا تتعلق بمكاتب العلامات التجارية مثل </w:t>
      </w:r>
      <w:r w:rsidRPr="00B14F5B">
        <w:rPr>
          <w:rtl/>
        </w:rPr>
        <w:t>مكتب الاتحاد الأوروبي للملكية الفكرية</w:t>
      </w:r>
      <w:r w:rsidR="00624753">
        <w:rPr>
          <w:rtl/>
        </w:rPr>
        <w:t xml:space="preserve">. </w:t>
      </w:r>
      <w:r>
        <w:rPr>
          <w:rFonts w:hint="cs"/>
          <w:rtl/>
        </w:rPr>
        <w:t>و</w:t>
      </w:r>
      <w:r w:rsidR="00624753">
        <w:rPr>
          <w:rtl/>
        </w:rPr>
        <w:t xml:space="preserve">لم </w:t>
      </w:r>
      <w:r w:rsidR="00C925DD">
        <w:rPr>
          <w:rFonts w:hint="cs"/>
          <w:rtl/>
        </w:rPr>
        <w:t>تحدد</w:t>
      </w:r>
      <w:r w:rsidR="00624753">
        <w:rPr>
          <w:rtl/>
        </w:rPr>
        <w:t xml:space="preserve"> بعض الردود </w:t>
      </w:r>
      <w:r w:rsidR="00C925DD">
        <w:rPr>
          <w:rFonts w:hint="cs"/>
          <w:rtl/>
        </w:rPr>
        <w:t>ال</w:t>
      </w:r>
      <w:r w:rsidR="00624753">
        <w:rPr>
          <w:rtl/>
        </w:rPr>
        <w:t>أولوية ولكن بدلاً من ذلك</w:t>
      </w:r>
      <w:r w:rsidR="00C925DD">
        <w:rPr>
          <w:rFonts w:hint="cs"/>
          <w:rtl/>
        </w:rPr>
        <w:t xml:space="preserve"> كانت على شكل</w:t>
      </w:r>
      <w:r w:rsidR="00624753">
        <w:rPr>
          <w:rtl/>
        </w:rPr>
        <w:t xml:space="preserve"> تعليق لتوضيح أو الإشارة إلى</w:t>
      </w:r>
      <w:r w:rsidR="00C925DD">
        <w:rPr>
          <w:rFonts w:hint="cs"/>
          <w:rtl/>
        </w:rPr>
        <w:t xml:space="preserve"> أن التوصية</w:t>
      </w:r>
      <w:r w:rsidR="00624753">
        <w:rPr>
          <w:rtl/>
        </w:rPr>
        <w:t xml:space="preserve"> "</w:t>
      </w:r>
      <w:r w:rsidR="00C925DD">
        <w:rPr>
          <w:rFonts w:hint="cs"/>
          <w:rtl/>
        </w:rPr>
        <w:t>لا تنطبق</w:t>
      </w:r>
      <w:r w:rsidR="00624753">
        <w:rPr>
          <w:rtl/>
        </w:rPr>
        <w:t xml:space="preserve">" </w:t>
      </w:r>
      <w:r w:rsidR="00C925DD">
        <w:rPr>
          <w:rFonts w:hint="cs"/>
          <w:rtl/>
        </w:rPr>
        <w:t>في حالتها</w:t>
      </w:r>
      <w:r w:rsidR="00624753">
        <w:rPr>
          <w:rtl/>
        </w:rPr>
        <w:t xml:space="preserve">؛ على سبيل المثال، انظر رد الولايات المتحدة على </w:t>
      </w:r>
      <w:r w:rsidR="000513F4">
        <w:rPr>
          <w:rFonts w:hint="cs"/>
          <w:rtl/>
        </w:rPr>
        <w:t>التوصية 14</w:t>
      </w:r>
      <w:r w:rsidR="00624753">
        <w:rPr>
          <w:rtl/>
        </w:rPr>
        <w:t xml:space="preserve"> و</w:t>
      </w:r>
      <w:r w:rsidR="000513F4">
        <w:rPr>
          <w:rFonts w:hint="cs"/>
          <w:rtl/>
        </w:rPr>
        <w:t>رد كل من المكتب الأوروبي</w:t>
      </w:r>
      <w:r w:rsidR="000513F4" w:rsidRPr="000513F4">
        <w:rPr>
          <w:rFonts w:hint="cs"/>
          <w:rtl/>
        </w:rPr>
        <w:t xml:space="preserve"> </w:t>
      </w:r>
      <w:r w:rsidR="000513F4">
        <w:rPr>
          <w:rFonts w:hint="cs"/>
          <w:rtl/>
        </w:rPr>
        <w:t xml:space="preserve">للبراءات </w:t>
      </w:r>
      <w:r w:rsidR="00624753">
        <w:rPr>
          <w:rtl/>
        </w:rPr>
        <w:t>و</w:t>
      </w:r>
      <w:r w:rsidR="000513F4">
        <w:rPr>
          <w:rFonts w:hint="cs"/>
          <w:rtl/>
        </w:rPr>
        <w:t xml:space="preserve">نيوزيلندا </w:t>
      </w:r>
      <w:r w:rsidR="00624753">
        <w:rPr>
          <w:rtl/>
        </w:rPr>
        <w:t xml:space="preserve">على </w:t>
      </w:r>
      <w:r w:rsidR="000513F4">
        <w:rPr>
          <w:rFonts w:hint="cs"/>
          <w:rtl/>
        </w:rPr>
        <w:t>التوصية 32</w:t>
      </w:r>
      <w:r w:rsidR="00624753">
        <w:rPr>
          <w:rtl/>
        </w:rPr>
        <w:t>، على التوالي.</w:t>
      </w:r>
    </w:p>
    <w:p w14:paraId="1156B2E6" w14:textId="2D90F120" w:rsidR="00624753" w:rsidRDefault="00C93B6C" w:rsidP="00624753">
      <w:pPr>
        <w:pStyle w:val="ONUMA"/>
      </w:pPr>
      <w:r>
        <w:rPr>
          <w:rFonts w:hint="cs"/>
          <w:rtl/>
        </w:rPr>
        <w:t>و</w:t>
      </w:r>
      <w:r w:rsidR="00624753">
        <w:rPr>
          <w:rtl/>
        </w:rPr>
        <w:t xml:space="preserve">بالإضافة إلى التصنيف، قدمت المكاتب المشاركة تعليقات قيّمة تشرح تصنيفها أو غيرها من المعلومات </w:t>
      </w:r>
      <w:r w:rsidR="00BA1EDF">
        <w:rPr>
          <w:rFonts w:hint="cs"/>
          <w:rtl/>
        </w:rPr>
        <w:t>الوجيهة</w:t>
      </w:r>
      <w:r w:rsidR="00624753">
        <w:rPr>
          <w:rtl/>
        </w:rPr>
        <w:t>.</w:t>
      </w:r>
      <w:r>
        <w:rPr>
          <w:rFonts w:hint="cs"/>
          <w:rtl/>
        </w:rPr>
        <w:t xml:space="preserve"> وفيما يلي</w:t>
      </w:r>
      <w:r w:rsidR="00624753">
        <w:rPr>
          <w:rtl/>
        </w:rPr>
        <w:t xml:space="preserve"> بعض التعليقات البارزة:</w:t>
      </w:r>
    </w:p>
    <w:p w14:paraId="4619EC68" w14:textId="2120C8E5" w:rsidR="00624753" w:rsidRDefault="00624753" w:rsidP="00D32E3E">
      <w:pPr>
        <w:pStyle w:val="ONUMA"/>
        <w:numPr>
          <w:ilvl w:val="0"/>
          <w:numId w:val="43"/>
        </w:numPr>
      </w:pPr>
      <w:r>
        <w:rPr>
          <w:rtl/>
        </w:rPr>
        <w:t xml:space="preserve">تقوم بعض المكاتب بترتيب أولوية التوصية جزئيًا، على سبيل المثال، </w:t>
      </w:r>
      <w:r w:rsidR="00D32E3E">
        <w:rPr>
          <w:rFonts w:hint="cs"/>
          <w:rtl/>
        </w:rPr>
        <w:t>رد</w:t>
      </w:r>
      <w:r>
        <w:rPr>
          <w:rtl/>
        </w:rPr>
        <w:t xml:space="preserve"> المكتب الأوروبي للبراءات </w:t>
      </w:r>
      <w:r w:rsidR="00D32E3E">
        <w:rPr>
          <w:rFonts w:hint="cs"/>
          <w:rtl/>
        </w:rPr>
        <w:t>على التوصية 4</w:t>
      </w:r>
      <w:r>
        <w:rPr>
          <w:rtl/>
        </w:rPr>
        <w:t xml:space="preserve"> </w:t>
      </w:r>
      <w:r w:rsidR="00D32E3E">
        <w:rPr>
          <w:rtl/>
        </w:rPr>
        <w:t>–</w:t>
      </w:r>
      <w:r>
        <w:rPr>
          <w:rtl/>
        </w:rPr>
        <w:t xml:space="preserve"> </w:t>
      </w:r>
      <w:r w:rsidR="00D32E3E">
        <w:rPr>
          <w:rFonts w:hint="cs"/>
          <w:rtl/>
        </w:rPr>
        <w:t xml:space="preserve">أولوية </w:t>
      </w:r>
      <w:r>
        <w:rPr>
          <w:rtl/>
        </w:rPr>
        <w:t>مرتفع</w:t>
      </w:r>
      <w:r w:rsidR="00D32E3E">
        <w:rPr>
          <w:rFonts w:hint="cs"/>
          <w:rtl/>
        </w:rPr>
        <w:t>ة</w:t>
      </w:r>
      <w:r>
        <w:rPr>
          <w:rtl/>
        </w:rPr>
        <w:t xml:space="preserve"> بالنسبة للجزء الأول من التوصية، ولكن </w:t>
      </w:r>
      <w:r w:rsidR="00D32E3E">
        <w:rPr>
          <w:rFonts w:hint="cs"/>
          <w:rtl/>
        </w:rPr>
        <w:t>متدنية</w:t>
      </w:r>
      <w:r>
        <w:rPr>
          <w:rtl/>
        </w:rPr>
        <w:t xml:space="preserve"> بالنسبة </w:t>
      </w:r>
      <w:r w:rsidRPr="00F6175D">
        <w:rPr>
          <w:rtl/>
        </w:rPr>
        <w:t>للأدوات المشتركة.</w:t>
      </w:r>
    </w:p>
    <w:p w14:paraId="481E3106" w14:textId="3724FD93" w:rsidR="00D32E3E" w:rsidRDefault="00624753" w:rsidP="00D32E3E">
      <w:pPr>
        <w:pStyle w:val="ONUMA"/>
        <w:numPr>
          <w:ilvl w:val="0"/>
          <w:numId w:val="43"/>
        </w:numPr>
        <w:rPr>
          <w:rtl/>
        </w:rPr>
      </w:pPr>
      <w:r>
        <w:rPr>
          <w:rtl/>
        </w:rPr>
        <w:t xml:space="preserve">الجاهزية من حيث الموارد </w:t>
      </w:r>
      <w:r w:rsidR="00CE0CED">
        <w:rPr>
          <w:rFonts w:hint="cs"/>
          <w:rtl/>
        </w:rPr>
        <w:t>وتوقيت التنفيذ</w:t>
      </w:r>
      <w:r>
        <w:rPr>
          <w:rtl/>
        </w:rPr>
        <w:t xml:space="preserve">، على سبيل المثال، تتطلب </w:t>
      </w:r>
      <w:r w:rsidR="00CE0CED">
        <w:rPr>
          <w:rFonts w:hint="cs"/>
          <w:rtl/>
        </w:rPr>
        <w:t>التوصية 3</w:t>
      </w:r>
      <w:r>
        <w:rPr>
          <w:rtl/>
        </w:rPr>
        <w:t xml:space="preserve"> الموارد والوقت لتحقيقها</w:t>
      </w:r>
      <w:r w:rsidR="00CE0CED">
        <w:rPr>
          <w:rFonts w:hint="cs"/>
          <w:rtl/>
        </w:rPr>
        <w:t>.</w:t>
      </w:r>
    </w:p>
    <w:p w14:paraId="712CC60A" w14:textId="2FEAD4F7" w:rsidR="00624753" w:rsidRDefault="00624753" w:rsidP="00D32E3E">
      <w:pPr>
        <w:pStyle w:val="ONUMA"/>
        <w:numPr>
          <w:ilvl w:val="0"/>
          <w:numId w:val="43"/>
        </w:numPr>
      </w:pPr>
      <w:r>
        <w:rPr>
          <w:rtl/>
        </w:rPr>
        <w:t xml:space="preserve">جاهزية الأدوات المشتركة أو </w:t>
      </w:r>
      <w:r w:rsidR="008640A0">
        <w:rPr>
          <w:rFonts w:hint="cs"/>
          <w:rtl/>
        </w:rPr>
        <w:t>الوجيهة</w:t>
      </w:r>
      <w:r>
        <w:rPr>
          <w:rtl/>
        </w:rPr>
        <w:t xml:space="preserve"> </w:t>
      </w:r>
      <w:r w:rsidR="008640A0">
        <w:rPr>
          <w:rtl/>
        </w:rPr>
        <w:t>–</w:t>
      </w:r>
      <w:r>
        <w:rPr>
          <w:rtl/>
        </w:rPr>
        <w:t xml:space="preserve"> </w:t>
      </w:r>
      <w:r w:rsidR="008640A0">
        <w:rPr>
          <w:rFonts w:hint="cs"/>
          <w:rtl/>
        </w:rPr>
        <w:t>التوصية</w:t>
      </w:r>
      <w:r>
        <w:rPr>
          <w:rtl/>
        </w:rPr>
        <w:t xml:space="preserve"> </w:t>
      </w:r>
      <w:r w:rsidR="008640A0">
        <w:rPr>
          <w:rFonts w:hint="cs"/>
          <w:rtl/>
        </w:rPr>
        <w:t xml:space="preserve">5 </w:t>
      </w:r>
      <w:r>
        <w:rPr>
          <w:rtl/>
        </w:rPr>
        <w:t xml:space="preserve">وغيرها: التوصيات مفيدة للغاية، ومع ذلك، لا تمتلك بعض المكاتب الأدوات التكنولوجية للقيام بذلك أو قد تكون هناك </w:t>
      </w:r>
      <w:r w:rsidR="004E4641">
        <w:rPr>
          <w:rFonts w:hint="cs"/>
          <w:rtl/>
        </w:rPr>
        <w:t>تقييدات</w:t>
      </w:r>
      <w:r>
        <w:rPr>
          <w:rtl/>
        </w:rPr>
        <w:t xml:space="preserve">، بما في ذلك قيود </w:t>
      </w:r>
      <w:r w:rsidR="00CD5ADE">
        <w:rPr>
          <w:rFonts w:hint="cs"/>
          <w:rtl/>
        </w:rPr>
        <w:t>على مكاتب الملكية الفكرية</w:t>
      </w:r>
      <w:r>
        <w:rPr>
          <w:rtl/>
        </w:rPr>
        <w:t xml:space="preserve"> وقيود/</w:t>
      </w:r>
      <w:r w:rsidR="00CD5ADE">
        <w:rPr>
          <w:rFonts w:hint="cs"/>
          <w:rtl/>
        </w:rPr>
        <w:t xml:space="preserve">تقييدات على </w:t>
      </w:r>
      <w:r>
        <w:rPr>
          <w:rtl/>
        </w:rPr>
        <w:t>مقدمي الطلبات.</w:t>
      </w:r>
    </w:p>
    <w:p w14:paraId="5DB66418" w14:textId="4C799E1D" w:rsidR="00624753" w:rsidRDefault="00624753" w:rsidP="00624753">
      <w:pPr>
        <w:pStyle w:val="ONUMA"/>
      </w:pPr>
      <w:r>
        <w:rPr>
          <w:rtl/>
        </w:rPr>
        <w:t xml:space="preserve">وتجدر الإشارة إلى أن نتائج </w:t>
      </w:r>
      <w:r w:rsidR="00435D4F">
        <w:rPr>
          <w:rFonts w:hint="cs"/>
          <w:rtl/>
        </w:rPr>
        <w:t>هذه الدراسة الاستقصائية</w:t>
      </w:r>
      <w:r>
        <w:rPr>
          <w:rtl/>
        </w:rPr>
        <w:t xml:space="preserve"> مختلفة تمامًا عن نتائج </w:t>
      </w:r>
      <w:r w:rsidR="00435D4F" w:rsidRPr="00435D4F">
        <w:rPr>
          <w:rtl/>
        </w:rPr>
        <w:t xml:space="preserve">الدراسة الاستقصائية التي أجريت داخل فرقة العمل </w:t>
      </w:r>
      <w:r>
        <w:rPr>
          <w:rtl/>
        </w:rPr>
        <w:t xml:space="preserve">الموضحة في الفقرة 4 أعلاه. </w:t>
      </w:r>
      <w:r w:rsidR="00435D4F">
        <w:rPr>
          <w:rFonts w:hint="cs"/>
          <w:rtl/>
        </w:rPr>
        <w:t>ف</w:t>
      </w:r>
      <w:r>
        <w:rPr>
          <w:rtl/>
        </w:rPr>
        <w:t xml:space="preserve">على سبيل المثال، كانت التوصية 38 توصية ذات أولوية </w:t>
      </w:r>
      <w:r w:rsidR="00435D4F">
        <w:rPr>
          <w:rFonts w:hint="cs"/>
          <w:rtl/>
        </w:rPr>
        <w:t xml:space="preserve">في </w:t>
      </w:r>
      <w:r w:rsidR="00435D4F" w:rsidRPr="00435D4F">
        <w:rPr>
          <w:rtl/>
        </w:rPr>
        <w:t>الدراسة الاستقصائية التي أجريت داخل فرقة العمل</w:t>
      </w:r>
      <w:r>
        <w:rPr>
          <w:rtl/>
        </w:rPr>
        <w:t>،</w:t>
      </w:r>
      <w:r w:rsidR="00435D4F">
        <w:rPr>
          <w:rFonts w:hint="cs"/>
          <w:rtl/>
        </w:rPr>
        <w:t xml:space="preserve"> و</w:t>
      </w:r>
      <w:r>
        <w:rPr>
          <w:rtl/>
        </w:rPr>
        <w:t xml:space="preserve">لكنها </w:t>
      </w:r>
      <w:r w:rsidR="00435D4F">
        <w:rPr>
          <w:rFonts w:hint="cs"/>
          <w:rtl/>
        </w:rPr>
        <w:t>تذيلت تصنيفات</w:t>
      </w:r>
      <w:r>
        <w:rPr>
          <w:rtl/>
        </w:rPr>
        <w:t xml:space="preserve"> الأولوية في هذ</w:t>
      </w:r>
      <w:r w:rsidR="00435D4F">
        <w:rPr>
          <w:rFonts w:hint="cs"/>
          <w:rtl/>
        </w:rPr>
        <w:t>ه</w:t>
      </w:r>
      <w:r>
        <w:rPr>
          <w:rtl/>
        </w:rPr>
        <w:t xml:space="preserve"> </w:t>
      </w:r>
      <w:r w:rsidR="00435D4F" w:rsidRPr="00435D4F">
        <w:rPr>
          <w:rtl/>
        </w:rPr>
        <w:t xml:space="preserve">الدراسة الاستقصائية </w:t>
      </w:r>
      <w:r w:rsidR="00435D4F">
        <w:rPr>
          <w:rFonts w:hint="cs"/>
          <w:rtl/>
        </w:rPr>
        <w:t xml:space="preserve">التي أُجريت على </w:t>
      </w:r>
      <w:r>
        <w:rPr>
          <w:rtl/>
        </w:rPr>
        <w:t>مكاتب الملكية الفكرية.</w:t>
      </w:r>
    </w:p>
    <w:p w14:paraId="30D2937B" w14:textId="6A05FD9B" w:rsidR="00445486" w:rsidRDefault="00D37BB6" w:rsidP="00624753">
      <w:pPr>
        <w:pStyle w:val="ONUMA"/>
      </w:pPr>
      <w:r>
        <w:rPr>
          <w:rFonts w:hint="cs"/>
          <w:rtl/>
        </w:rPr>
        <w:t>و</w:t>
      </w:r>
      <w:r w:rsidR="00624753">
        <w:rPr>
          <w:rtl/>
        </w:rPr>
        <w:t xml:space="preserve">يُقترح أن يُطلب من </w:t>
      </w:r>
      <w:r w:rsidRPr="00D37BB6">
        <w:rPr>
          <w:rtl/>
        </w:rPr>
        <w:t xml:space="preserve">فرقة العمل المعنية باستراتيجية تكنولوجيا المعلومات للمعايير </w:t>
      </w:r>
      <w:r w:rsidR="00624753">
        <w:rPr>
          <w:rtl/>
        </w:rPr>
        <w:t xml:space="preserve">إعداد خارطة طريق استراتيجية </w:t>
      </w:r>
      <w:r w:rsidR="001444D9">
        <w:rPr>
          <w:rFonts w:hint="cs"/>
          <w:rtl/>
        </w:rPr>
        <w:t>لتنظر</w:t>
      </w:r>
      <w:r w:rsidR="00624753">
        <w:rPr>
          <w:rtl/>
        </w:rPr>
        <w:t xml:space="preserve"> فيها لجنة المعايير (انظر </w:t>
      </w:r>
      <w:r w:rsidR="001444D9">
        <w:rPr>
          <w:rFonts w:hint="cs"/>
          <w:rtl/>
        </w:rPr>
        <w:t>الفقرتين</w:t>
      </w:r>
      <w:r w:rsidR="00624753">
        <w:rPr>
          <w:rtl/>
        </w:rPr>
        <w:t xml:space="preserve"> 19 </w:t>
      </w:r>
      <w:r w:rsidR="001444D9">
        <w:rPr>
          <w:rFonts w:hint="cs"/>
          <w:rtl/>
        </w:rPr>
        <w:t>و</w:t>
      </w:r>
      <w:r w:rsidR="00624753">
        <w:rPr>
          <w:rtl/>
        </w:rPr>
        <w:t xml:space="preserve">20 من الوثيقة </w:t>
      </w:r>
      <w:r w:rsidR="001444D9" w:rsidRPr="001444D9">
        <w:t>CWS/7/29</w:t>
      </w:r>
      <w:r w:rsidR="00624753">
        <w:rPr>
          <w:rtl/>
        </w:rPr>
        <w:t xml:space="preserve">) مع مراعاة نتائج </w:t>
      </w:r>
      <w:r w:rsidR="004B587A" w:rsidRPr="004B587A">
        <w:rPr>
          <w:rtl/>
        </w:rPr>
        <w:t xml:space="preserve">الدراسة الاستقصائية </w:t>
      </w:r>
      <w:r w:rsidR="00F6175D">
        <w:rPr>
          <w:rFonts w:hint="cs"/>
          <w:rtl/>
        </w:rPr>
        <w:t>ند إعدادها و</w:t>
      </w:r>
      <w:r w:rsidR="00624753">
        <w:rPr>
          <w:rtl/>
        </w:rPr>
        <w:t>عندما تقوم بتحديث خطة عملها لعام 2022.</w:t>
      </w:r>
    </w:p>
    <w:p w14:paraId="10613801" w14:textId="77777777" w:rsidR="00445486" w:rsidRDefault="00445486" w:rsidP="00445486">
      <w:pPr>
        <w:pStyle w:val="ONUMA"/>
        <w:numPr>
          <w:ilvl w:val="0"/>
          <w:numId w:val="0"/>
        </w:numPr>
        <w:rPr>
          <w:i/>
          <w:iCs/>
        </w:rPr>
      </w:pPr>
    </w:p>
    <w:p w14:paraId="23E6A493" w14:textId="3F3C57D7" w:rsidR="004F57F4" w:rsidRPr="009D1FDC" w:rsidRDefault="004F57F4" w:rsidP="005508A8">
      <w:pPr>
        <w:pStyle w:val="ONUMA"/>
        <w:ind w:left="6025" w:hanging="540"/>
        <w:rPr>
          <w:i/>
          <w:iCs/>
        </w:rPr>
      </w:pPr>
      <w:r w:rsidRPr="009D1FDC">
        <w:rPr>
          <w:rFonts w:hint="cs"/>
          <w:i/>
          <w:iCs/>
          <w:rtl/>
        </w:rPr>
        <w:t>إن لجنة المعايير مدعوة إلى ما يلي:</w:t>
      </w:r>
    </w:p>
    <w:p w14:paraId="62446B20" w14:textId="65748B72" w:rsidR="005508A8" w:rsidRPr="009D1FDC" w:rsidRDefault="005C3D03" w:rsidP="000B2A4E">
      <w:pPr>
        <w:pStyle w:val="ONUMA"/>
        <w:numPr>
          <w:ilvl w:val="0"/>
          <w:numId w:val="23"/>
        </w:numPr>
        <w:tabs>
          <w:tab w:val="right" w:pos="4225"/>
          <w:tab w:val="right" w:pos="4855"/>
          <w:tab w:val="right" w:pos="6475"/>
        </w:tabs>
        <w:ind w:left="5485" w:firstLine="540"/>
        <w:rPr>
          <w:i/>
          <w:iCs/>
        </w:rPr>
      </w:pPr>
      <w:r>
        <w:rPr>
          <w:rFonts w:hint="cs"/>
          <w:i/>
          <w:iCs/>
          <w:rtl/>
        </w:rPr>
        <w:t>الإحاطة علما</w:t>
      </w:r>
      <w:r w:rsidRPr="005C3D03">
        <w:rPr>
          <w:i/>
          <w:iCs/>
          <w:rtl/>
        </w:rPr>
        <w:t xml:space="preserve"> </w:t>
      </w:r>
      <w:r>
        <w:rPr>
          <w:rFonts w:hint="cs"/>
          <w:i/>
          <w:iCs/>
          <w:rtl/>
        </w:rPr>
        <w:t>ب</w:t>
      </w:r>
      <w:r w:rsidRPr="005C3D03">
        <w:rPr>
          <w:i/>
          <w:iCs/>
          <w:rtl/>
        </w:rPr>
        <w:t xml:space="preserve">محتوى هذه الوثيقة والردود على </w:t>
      </w:r>
      <w:r>
        <w:rPr>
          <w:rFonts w:hint="cs"/>
          <w:i/>
          <w:iCs/>
          <w:rtl/>
        </w:rPr>
        <w:t>الدراسة الاستقصائية</w:t>
      </w:r>
      <w:r w:rsidRPr="005C3D03">
        <w:rPr>
          <w:i/>
          <w:iCs/>
          <w:rtl/>
        </w:rPr>
        <w:t xml:space="preserve"> </w:t>
      </w:r>
      <w:r>
        <w:rPr>
          <w:rFonts w:hint="cs"/>
          <w:i/>
          <w:iCs/>
          <w:rtl/>
        </w:rPr>
        <w:t>على النحو الوارد</w:t>
      </w:r>
      <w:r w:rsidRPr="005C3D03">
        <w:rPr>
          <w:i/>
          <w:iCs/>
          <w:rtl/>
        </w:rPr>
        <w:t xml:space="preserve"> في </w:t>
      </w:r>
      <w:r>
        <w:rPr>
          <w:rFonts w:hint="cs"/>
          <w:i/>
          <w:iCs/>
          <w:rtl/>
        </w:rPr>
        <w:t>المرفق</w:t>
      </w:r>
      <w:r w:rsidRPr="005C3D03">
        <w:rPr>
          <w:i/>
          <w:iCs/>
          <w:rtl/>
        </w:rPr>
        <w:t xml:space="preserve"> الأول من هذه الوثيقة والمشار إليها في الفقرة 6 أعلاه</w:t>
      </w:r>
      <w:r w:rsidR="005508A8" w:rsidRPr="009D1FDC">
        <w:rPr>
          <w:i/>
          <w:iCs/>
          <w:rtl/>
        </w:rPr>
        <w:t xml:space="preserve">؛ </w:t>
      </w:r>
    </w:p>
    <w:p w14:paraId="55607E1E" w14:textId="41F56767" w:rsidR="00F41786" w:rsidRPr="00E87112" w:rsidRDefault="005C3D03" w:rsidP="00E87112">
      <w:pPr>
        <w:pStyle w:val="ONUMA"/>
        <w:numPr>
          <w:ilvl w:val="0"/>
          <w:numId w:val="23"/>
        </w:numPr>
        <w:tabs>
          <w:tab w:val="right" w:pos="4225"/>
          <w:tab w:val="right" w:pos="4855"/>
          <w:tab w:val="right" w:pos="6475"/>
        </w:tabs>
        <w:ind w:left="5485" w:firstLine="540"/>
        <w:rPr>
          <w:i/>
          <w:iCs/>
          <w:rtl/>
        </w:rPr>
      </w:pPr>
      <w:r>
        <w:rPr>
          <w:rFonts w:hint="cs"/>
          <w:i/>
          <w:iCs/>
          <w:rtl/>
        </w:rPr>
        <w:t>و</w:t>
      </w:r>
      <w:r w:rsidRPr="005C3D03">
        <w:rPr>
          <w:i/>
          <w:iCs/>
          <w:rtl/>
        </w:rPr>
        <w:t>مطالبة فرقة العمل المعنية باستراتيجية تكنولوجيا المعلومات للمعايير بمراعاة نتائج</w:t>
      </w:r>
      <w:r w:rsidR="00F41786" w:rsidRPr="00F41786">
        <w:rPr>
          <w:rtl/>
        </w:rPr>
        <w:t xml:space="preserve"> </w:t>
      </w:r>
      <w:r w:rsidR="00F41786" w:rsidRPr="00F41786">
        <w:rPr>
          <w:i/>
          <w:iCs/>
          <w:rtl/>
        </w:rPr>
        <w:t>الدراسة الاستقصائية</w:t>
      </w:r>
      <w:r w:rsidRPr="005C3D03">
        <w:rPr>
          <w:i/>
          <w:iCs/>
          <w:rtl/>
        </w:rPr>
        <w:t xml:space="preserve"> عند إعداد خارطة الطريق الاستراتيجية وخطة عملها على النحو المشار إليه في الفقرة 15 أعلاه.</w:t>
      </w:r>
    </w:p>
    <w:p w14:paraId="09F7AA97" w14:textId="76CE7932" w:rsidR="00360601" w:rsidRPr="00425C84" w:rsidRDefault="00206593" w:rsidP="0084266B">
      <w:pPr>
        <w:pStyle w:val="Endofdocument-Annex"/>
        <w:rPr>
          <w:lang w:eastAsia="en-US"/>
        </w:rPr>
      </w:pPr>
      <w:r w:rsidRPr="007969D1">
        <w:rPr>
          <w:rtl/>
          <w:lang w:eastAsia="en-US"/>
        </w:rPr>
        <w:t xml:space="preserve"> </w:t>
      </w:r>
      <w:r w:rsidR="007969D1" w:rsidRPr="007969D1">
        <w:rPr>
          <w:rtl/>
          <w:lang w:eastAsia="en-US"/>
        </w:rPr>
        <w:t>[</w:t>
      </w:r>
      <w:r w:rsidR="00F41786">
        <w:rPr>
          <w:rFonts w:hint="cs"/>
          <w:rtl/>
          <w:lang w:eastAsia="en-US"/>
        </w:rPr>
        <w:t xml:space="preserve">يلي ذلك </w:t>
      </w:r>
      <w:hyperlink r:id="rId12" w:history="1">
        <w:r w:rsidR="00F41786" w:rsidRPr="00F41786">
          <w:rPr>
            <w:rStyle w:val="Hyperlink"/>
            <w:rFonts w:hint="cs"/>
            <w:rtl/>
            <w:lang w:eastAsia="en-US"/>
          </w:rPr>
          <w:t>المرفق الأول</w:t>
        </w:r>
      </w:hyperlink>
      <w:r w:rsidR="007969D1" w:rsidRPr="007969D1">
        <w:rPr>
          <w:rtl/>
          <w:lang w:eastAsia="en-US"/>
        </w:rPr>
        <w:t>]</w:t>
      </w:r>
    </w:p>
    <w:p w14:paraId="057D7CA8" w14:textId="755031D6" w:rsidR="007969D1" w:rsidRPr="00425C84" w:rsidRDefault="007969D1" w:rsidP="00425C84">
      <w:pPr>
        <w:pStyle w:val="Endofdocument-Annex"/>
        <w:rPr>
          <w:rtl/>
          <w:lang w:eastAsia="en-US"/>
        </w:rPr>
      </w:pPr>
    </w:p>
    <w:sectPr w:rsidR="007969D1" w:rsidRPr="00425C84" w:rsidSect="00CC3E2D">
      <w:headerReference w:type="default" r:id="rId13"/>
      <w:headerReference w:type="first" r:id="rId14"/>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F7D45" w14:textId="77777777" w:rsidR="00B325CB" w:rsidRDefault="00B325CB">
      <w:r>
        <w:separator/>
      </w:r>
    </w:p>
  </w:endnote>
  <w:endnote w:type="continuationSeparator" w:id="0">
    <w:p w14:paraId="7EC76639" w14:textId="77777777" w:rsidR="00B325CB" w:rsidRDefault="00B325CB" w:rsidP="003B38C1">
      <w:r>
        <w:separator/>
      </w:r>
    </w:p>
    <w:p w14:paraId="42A999CF" w14:textId="77777777" w:rsidR="00B325CB" w:rsidRPr="003B38C1" w:rsidRDefault="00B325CB" w:rsidP="003B38C1">
      <w:pPr>
        <w:spacing w:after="60"/>
        <w:rPr>
          <w:sz w:val="17"/>
        </w:rPr>
      </w:pPr>
      <w:r>
        <w:rPr>
          <w:sz w:val="17"/>
        </w:rPr>
        <w:t>[Endnote continued from previous page]</w:t>
      </w:r>
    </w:p>
  </w:endnote>
  <w:endnote w:type="continuationNotice" w:id="1">
    <w:p w14:paraId="31087760" w14:textId="77777777" w:rsidR="00B325CB" w:rsidRPr="003B38C1" w:rsidRDefault="00B325C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altName w:val="Arial"/>
    <w:charset w:val="00"/>
    <w:family w:val="script"/>
    <w:pitch w:val="variable"/>
    <w:sig w:usb0="A000206F" w:usb1="C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1AD9F" w14:textId="77777777" w:rsidR="00B325CB" w:rsidRDefault="00B325CB">
      <w:r>
        <w:separator/>
      </w:r>
    </w:p>
  </w:footnote>
  <w:footnote w:type="continuationSeparator" w:id="0">
    <w:p w14:paraId="3BC37BB5" w14:textId="77777777" w:rsidR="00B325CB" w:rsidRDefault="00B325CB" w:rsidP="008B60B2">
      <w:r>
        <w:separator/>
      </w:r>
    </w:p>
    <w:p w14:paraId="556DB3AE" w14:textId="77777777" w:rsidR="00B325CB" w:rsidRPr="00ED77FB" w:rsidRDefault="00B325CB" w:rsidP="008B60B2">
      <w:pPr>
        <w:spacing w:after="60"/>
        <w:rPr>
          <w:sz w:val="17"/>
          <w:szCs w:val="17"/>
        </w:rPr>
      </w:pPr>
      <w:r w:rsidRPr="00ED77FB">
        <w:rPr>
          <w:sz w:val="17"/>
          <w:szCs w:val="17"/>
        </w:rPr>
        <w:t>[Footnote continued from previous page]</w:t>
      </w:r>
    </w:p>
  </w:footnote>
  <w:footnote w:type="continuationNotice" w:id="1">
    <w:p w14:paraId="60835C09" w14:textId="77777777" w:rsidR="00B325CB" w:rsidRPr="00ED77FB" w:rsidRDefault="00B325C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F4A7" w14:textId="1CA04AFA" w:rsidR="00155952" w:rsidRPr="006F26FB" w:rsidRDefault="00155952" w:rsidP="00155952">
    <w:pPr>
      <w:bidi w:val="0"/>
      <w:rPr>
        <w:rFonts w:cs="Arial"/>
        <w:caps/>
        <w:szCs w:val="20"/>
        <w:rtl/>
        <w:lang w:val="fr-FR" w:bidi="ar-EG"/>
      </w:rPr>
    </w:pPr>
    <w:r w:rsidRPr="00360601">
      <w:rPr>
        <w:rFonts w:cs="Arial"/>
        <w:caps/>
        <w:szCs w:val="20"/>
      </w:rPr>
      <w:t>CWS/9/</w:t>
    </w:r>
    <w:r w:rsidR="006F26FB">
      <w:rPr>
        <w:rFonts w:cs="Arial"/>
        <w:caps/>
        <w:szCs w:val="20"/>
      </w:rPr>
      <w:t>2</w:t>
    </w:r>
  </w:p>
  <w:p w14:paraId="18D88363" w14:textId="6338C384" w:rsidR="00155952" w:rsidRPr="00360601" w:rsidRDefault="00155952" w:rsidP="00155952">
    <w:pPr>
      <w:bidi w:val="0"/>
      <w:rPr>
        <w:rFonts w:cs="Arial"/>
        <w:szCs w:val="20"/>
      </w:rPr>
    </w:pPr>
    <w:r w:rsidRPr="00360601">
      <w:rPr>
        <w:rFonts w:cs="Arial"/>
        <w:szCs w:val="20"/>
      </w:rPr>
      <w:fldChar w:fldCharType="begin"/>
    </w:r>
    <w:r w:rsidRPr="00360601">
      <w:rPr>
        <w:rFonts w:cs="Arial"/>
        <w:szCs w:val="20"/>
      </w:rPr>
      <w:instrText xml:space="preserve"> PAGE  \* MERGEFORMAT </w:instrText>
    </w:r>
    <w:r w:rsidRPr="00360601">
      <w:rPr>
        <w:rFonts w:cs="Arial"/>
        <w:szCs w:val="20"/>
      </w:rPr>
      <w:fldChar w:fldCharType="separate"/>
    </w:r>
    <w:r w:rsidR="00C728E3">
      <w:rPr>
        <w:rFonts w:cs="Arial"/>
        <w:noProof/>
        <w:szCs w:val="20"/>
      </w:rPr>
      <w:t>4</w:t>
    </w:r>
    <w:r w:rsidRPr="00360601">
      <w:rPr>
        <w:rFonts w:cs="Arial"/>
        <w:szCs w:val="20"/>
      </w:rPr>
      <w:fldChar w:fldCharType="end"/>
    </w:r>
  </w:p>
  <w:p w14:paraId="114FCE8B" w14:textId="453522D7" w:rsidR="00155952" w:rsidRDefault="00155952" w:rsidP="00155952">
    <w:pPr>
      <w:pStyle w:val="Header"/>
      <w:jc w:val="right"/>
      <w:rPr>
        <w:rtl/>
      </w:rPr>
    </w:pPr>
  </w:p>
  <w:p w14:paraId="22865C96" w14:textId="77777777" w:rsidR="00155952" w:rsidRDefault="00155952" w:rsidP="001559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8A6BE" w14:textId="77777777" w:rsidR="00E804AB" w:rsidRDefault="00E804AB" w:rsidP="00E804AB">
    <w:pPr>
      <w:pStyle w:val="Header"/>
      <w:bidi w:val="0"/>
      <w:rPr>
        <w:rtl/>
      </w:rPr>
    </w:pPr>
  </w:p>
  <w:p w14:paraId="75918D14" w14:textId="77777777" w:rsidR="00E804AB" w:rsidRDefault="00E804AB" w:rsidP="00425C84">
    <w:pPr>
      <w:pStyle w:val="Header"/>
      <w:bidi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B63DDA"/>
    <w:multiLevelType w:val="hybridMultilevel"/>
    <w:tmpl w:val="32684460"/>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A93DDD"/>
    <w:multiLevelType w:val="hybridMultilevel"/>
    <w:tmpl w:val="333E3124"/>
    <w:lvl w:ilvl="0" w:tplc="CB9CA206">
      <w:numFmt w:val="bullet"/>
      <w:lvlText w:val="_"/>
      <w:lvlJc w:val="left"/>
      <w:pPr>
        <w:ind w:left="720" w:hanging="360"/>
      </w:pPr>
      <w:rPr>
        <w:rFonts w:ascii="Arabic Typesetting" w:eastAsia="Times New Roman" w:hAnsi="Arabic Typesetting"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2" w15:restartNumberingAfterBreak="0">
    <w:nsid w:val="3F683FE3"/>
    <w:multiLevelType w:val="hybridMultilevel"/>
    <w:tmpl w:val="12D4B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4D47D4"/>
    <w:multiLevelType w:val="hybridMultilevel"/>
    <w:tmpl w:val="731458F0"/>
    <w:lvl w:ilvl="0" w:tplc="EF98573E">
      <w:numFmt w:val="bullet"/>
      <w:lvlText w:val="-"/>
      <w:lvlJc w:val="left"/>
      <w:pPr>
        <w:ind w:left="720" w:hanging="360"/>
      </w:pPr>
      <w:rPr>
        <w:rFonts w:ascii="Calibri" w:eastAsia="Times New Roman" w:hAnsi="Calibri"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5" w15:restartNumberingAfterBreak="0">
    <w:nsid w:val="42B84EA0"/>
    <w:multiLevelType w:val="hybridMultilevel"/>
    <w:tmpl w:val="1E6C88DE"/>
    <w:lvl w:ilvl="0" w:tplc="183AD578">
      <w:numFmt w:val="bullet"/>
      <w:lvlText w:val="-"/>
      <w:lvlJc w:val="left"/>
      <w:pPr>
        <w:ind w:left="720" w:hanging="360"/>
      </w:pPr>
      <w:rPr>
        <w:rFonts w:ascii="Calibri" w:eastAsia="Times New Roman" w:hAnsi="Calibri"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D64410"/>
    <w:multiLevelType w:val="hybridMultilevel"/>
    <w:tmpl w:val="7520E4A0"/>
    <w:lvl w:ilvl="0" w:tplc="8580E61E">
      <w:start w:val="1"/>
      <w:numFmt w:val="arabicAbjad"/>
      <w:lvlText w:val="(%1)"/>
      <w:lvlJc w:val="left"/>
      <w:pPr>
        <w:ind w:left="752" w:hanging="360"/>
      </w:pPr>
      <w:rPr>
        <w:rFonts w:asciiTheme="minorHAnsi" w:eastAsia="SimSun" w:hAnsiTheme="minorHAnsi" w:cstheme="minorHAnsi"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8"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20061B"/>
    <w:multiLevelType w:val="multilevel"/>
    <w:tmpl w:val="ACAA6F7E"/>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D7911"/>
    <w:multiLevelType w:val="hybridMultilevel"/>
    <w:tmpl w:val="AA5ADAB0"/>
    <w:lvl w:ilvl="0" w:tplc="1A94064A">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7"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AC7B0C"/>
    <w:multiLevelType w:val="hybridMultilevel"/>
    <w:tmpl w:val="8738D916"/>
    <w:lvl w:ilvl="0" w:tplc="CB9CA206">
      <w:numFmt w:val="bullet"/>
      <w:lvlText w:val="_"/>
      <w:lvlJc w:val="left"/>
      <w:pPr>
        <w:ind w:left="720" w:hanging="360"/>
      </w:pPr>
      <w:rPr>
        <w:rFonts w:ascii="Arabic Typesetting" w:eastAsia="Times New Roman" w:hAnsi="Arabic Typesetting"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0"/>
  </w:num>
  <w:num w:numId="4">
    <w:abstractNumId w:val="20"/>
  </w:num>
  <w:num w:numId="5">
    <w:abstractNumId w:val="2"/>
  </w:num>
  <w:num w:numId="6">
    <w:abstractNumId w:val="8"/>
  </w:num>
  <w:num w:numId="7">
    <w:abstractNumId w:val="23"/>
  </w:num>
  <w:num w:numId="8">
    <w:abstractNumId w:val="11"/>
  </w:num>
  <w:num w:numId="9">
    <w:abstractNumId w:val="12"/>
  </w:num>
  <w:num w:numId="10">
    <w:abstractNumId w:val="18"/>
  </w:num>
  <w:num w:numId="11">
    <w:abstractNumId w:val="22"/>
  </w:num>
  <w:num w:numId="12">
    <w:abstractNumId w:val="19"/>
  </w:num>
  <w:num w:numId="13">
    <w:abstractNumId w:val="24"/>
  </w:num>
  <w:num w:numId="14">
    <w:abstractNumId w:val="6"/>
  </w:num>
  <w:num w:numId="15">
    <w:abstractNumId w:val="10"/>
  </w:num>
  <w:num w:numId="16">
    <w:abstractNumId w:val="3"/>
  </w:num>
  <w:num w:numId="17">
    <w:abstractNumId w:val="13"/>
  </w:num>
  <w:num w:numId="18">
    <w:abstractNumId w:val="21"/>
  </w:num>
  <w:num w:numId="19">
    <w:abstractNumId w:val="7"/>
  </w:num>
  <w:num w:numId="20">
    <w:abstractNumId w:val="25"/>
  </w:num>
  <w:num w:numId="21">
    <w:abstractNumId w:val="9"/>
  </w:num>
  <w:num w:numId="22">
    <w:abstractNumId w:val="27"/>
  </w:num>
  <w:num w:numId="23">
    <w:abstractNumId w:val="17"/>
  </w:num>
  <w:num w:numId="24">
    <w:abstractNumId w:val="23"/>
  </w:num>
  <w:num w:numId="25">
    <w:abstractNumId w:val="23"/>
  </w:num>
  <w:num w:numId="26">
    <w:abstractNumId w:val="23"/>
  </w:num>
  <w:num w:numId="27">
    <w:abstractNumId w:val="23"/>
  </w:num>
  <w:num w:numId="28">
    <w:abstractNumId w:val="23"/>
  </w:num>
  <w:num w:numId="29">
    <w:abstractNumId w:val="4"/>
  </w:num>
  <w:num w:numId="30">
    <w:abstractNumId w:val="15"/>
  </w:num>
  <w:num w:numId="31">
    <w:abstractNumId w:val="1"/>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6"/>
  </w:num>
  <w:num w:numId="39">
    <w:abstractNumId w:val="23"/>
  </w:num>
  <w:num w:numId="40">
    <w:abstractNumId w:val="23"/>
  </w:num>
  <w:num w:numId="41">
    <w:abstractNumId w:val="23"/>
  </w:num>
  <w:num w:numId="42">
    <w:abstractNumId w:val="14"/>
  </w:num>
  <w:num w:numId="43">
    <w:abstractNumId w:val="28"/>
  </w:num>
  <w:num w:numId="44">
    <w:abstractNumId w:val="23"/>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00"/>
    <w:rsid w:val="00005C9A"/>
    <w:rsid w:val="000070C8"/>
    <w:rsid w:val="00016BDB"/>
    <w:rsid w:val="00020B97"/>
    <w:rsid w:val="00021144"/>
    <w:rsid w:val="00021B01"/>
    <w:rsid w:val="00035A24"/>
    <w:rsid w:val="00043CAA"/>
    <w:rsid w:val="00044113"/>
    <w:rsid w:val="000513F4"/>
    <w:rsid w:val="00056816"/>
    <w:rsid w:val="00063B87"/>
    <w:rsid w:val="00065834"/>
    <w:rsid w:val="00070761"/>
    <w:rsid w:val="00071E69"/>
    <w:rsid w:val="00071F21"/>
    <w:rsid w:val="00075432"/>
    <w:rsid w:val="00076504"/>
    <w:rsid w:val="00086230"/>
    <w:rsid w:val="000910E5"/>
    <w:rsid w:val="000968ED"/>
    <w:rsid w:val="000A3385"/>
    <w:rsid w:val="000A3D97"/>
    <w:rsid w:val="000A67D0"/>
    <w:rsid w:val="000B07F5"/>
    <w:rsid w:val="000B2799"/>
    <w:rsid w:val="000B2A4E"/>
    <w:rsid w:val="000B5B36"/>
    <w:rsid w:val="000C27A1"/>
    <w:rsid w:val="000C28F3"/>
    <w:rsid w:val="000C3B24"/>
    <w:rsid w:val="000D3DAB"/>
    <w:rsid w:val="000E52DA"/>
    <w:rsid w:val="000F5E56"/>
    <w:rsid w:val="00114F7B"/>
    <w:rsid w:val="00122D17"/>
    <w:rsid w:val="001344B3"/>
    <w:rsid w:val="001362EE"/>
    <w:rsid w:val="001406E1"/>
    <w:rsid w:val="00140F22"/>
    <w:rsid w:val="001444D9"/>
    <w:rsid w:val="00145007"/>
    <w:rsid w:val="00155952"/>
    <w:rsid w:val="00155D8A"/>
    <w:rsid w:val="00156915"/>
    <w:rsid w:val="001647D5"/>
    <w:rsid w:val="00166447"/>
    <w:rsid w:val="00166C69"/>
    <w:rsid w:val="00167832"/>
    <w:rsid w:val="00170361"/>
    <w:rsid w:val="001832A6"/>
    <w:rsid w:val="00187D7E"/>
    <w:rsid w:val="00191076"/>
    <w:rsid w:val="00192159"/>
    <w:rsid w:val="0019592A"/>
    <w:rsid w:val="00195B0E"/>
    <w:rsid w:val="001B4A46"/>
    <w:rsid w:val="001C20CE"/>
    <w:rsid w:val="001C2B68"/>
    <w:rsid w:val="001C513D"/>
    <w:rsid w:val="001D4107"/>
    <w:rsid w:val="001E6ABF"/>
    <w:rsid w:val="002027EB"/>
    <w:rsid w:val="00203D24"/>
    <w:rsid w:val="0020439E"/>
    <w:rsid w:val="00206593"/>
    <w:rsid w:val="00207E3F"/>
    <w:rsid w:val="00210D5F"/>
    <w:rsid w:val="002112DB"/>
    <w:rsid w:val="00211FC5"/>
    <w:rsid w:val="0021217E"/>
    <w:rsid w:val="002201FA"/>
    <w:rsid w:val="002266E1"/>
    <w:rsid w:val="002326AB"/>
    <w:rsid w:val="00243430"/>
    <w:rsid w:val="00250149"/>
    <w:rsid w:val="00262607"/>
    <w:rsid w:val="002634C4"/>
    <w:rsid w:val="00265354"/>
    <w:rsid w:val="00273483"/>
    <w:rsid w:val="0028335C"/>
    <w:rsid w:val="002928D3"/>
    <w:rsid w:val="002A7B3A"/>
    <w:rsid w:val="002B2410"/>
    <w:rsid w:val="002C00A3"/>
    <w:rsid w:val="002D367C"/>
    <w:rsid w:val="002D4484"/>
    <w:rsid w:val="002D450E"/>
    <w:rsid w:val="002F1FE6"/>
    <w:rsid w:val="002F4E68"/>
    <w:rsid w:val="00303282"/>
    <w:rsid w:val="00304850"/>
    <w:rsid w:val="00312F7F"/>
    <w:rsid w:val="00321316"/>
    <w:rsid w:val="00321EB3"/>
    <w:rsid w:val="00324B26"/>
    <w:rsid w:val="00327E12"/>
    <w:rsid w:val="00333351"/>
    <w:rsid w:val="00334991"/>
    <w:rsid w:val="00344554"/>
    <w:rsid w:val="003452A8"/>
    <w:rsid w:val="00360601"/>
    <w:rsid w:val="00361450"/>
    <w:rsid w:val="003673CF"/>
    <w:rsid w:val="00372195"/>
    <w:rsid w:val="003845C1"/>
    <w:rsid w:val="00390119"/>
    <w:rsid w:val="00393538"/>
    <w:rsid w:val="003A219A"/>
    <w:rsid w:val="003A6F89"/>
    <w:rsid w:val="003B355C"/>
    <w:rsid w:val="003B3581"/>
    <w:rsid w:val="003B38C1"/>
    <w:rsid w:val="003B4AE4"/>
    <w:rsid w:val="003C34E9"/>
    <w:rsid w:val="003C43BF"/>
    <w:rsid w:val="003D25B0"/>
    <w:rsid w:val="003D3463"/>
    <w:rsid w:val="003D5315"/>
    <w:rsid w:val="003D7B03"/>
    <w:rsid w:val="003E4CF2"/>
    <w:rsid w:val="003E520C"/>
    <w:rsid w:val="003F20F4"/>
    <w:rsid w:val="004070A0"/>
    <w:rsid w:val="00414F5E"/>
    <w:rsid w:val="00423CB2"/>
    <w:rsid w:val="00423E3E"/>
    <w:rsid w:val="004252CB"/>
    <w:rsid w:val="00425C84"/>
    <w:rsid w:val="00427AF4"/>
    <w:rsid w:val="00434B5E"/>
    <w:rsid w:val="00435D4F"/>
    <w:rsid w:val="00435E3E"/>
    <w:rsid w:val="00436F2D"/>
    <w:rsid w:val="004434C3"/>
    <w:rsid w:val="00444A53"/>
    <w:rsid w:val="00445486"/>
    <w:rsid w:val="00447765"/>
    <w:rsid w:val="0045246E"/>
    <w:rsid w:val="00452F85"/>
    <w:rsid w:val="00461B51"/>
    <w:rsid w:val="004647DA"/>
    <w:rsid w:val="00472EF6"/>
    <w:rsid w:val="00474062"/>
    <w:rsid w:val="00476DAE"/>
    <w:rsid w:val="00477D6B"/>
    <w:rsid w:val="0048522D"/>
    <w:rsid w:val="00496AB4"/>
    <w:rsid w:val="004A293D"/>
    <w:rsid w:val="004B587A"/>
    <w:rsid w:val="004C43C6"/>
    <w:rsid w:val="004D29A8"/>
    <w:rsid w:val="004D63CB"/>
    <w:rsid w:val="004D64E1"/>
    <w:rsid w:val="004E4641"/>
    <w:rsid w:val="004E7145"/>
    <w:rsid w:val="004F2DE7"/>
    <w:rsid w:val="004F57F4"/>
    <w:rsid w:val="005019FF"/>
    <w:rsid w:val="0050470A"/>
    <w:rsid w:val="00506532"/>
    <w:rsid w:val="005153F3"/>
    <w:rsid w:val="005202DD"/>
    <w:rsid w:val="005206A2"/>
    <w:rsid w:val="00523F0D"/>
    <w:rsid w:val="0053057A"/>
    <w:rsid w:val="0053240B"/>
    <w:rsid w:val="00543B46"/>
    <w:rsid w:val="005508A8"/>
    <w:rsid w:val="00556076"/>
    <w:rsid w:val="00560A29"/>
    <w:rsid w:val="00565DBE"/>
    <w:rsid w:val="005740C5"/>
    <w:rsid w:val="00576BB6"/>
    <w:rsid w:val="00584829"/>
    <w:rsid w:val="00592CDF"/>
    <w:rsid w:val="0059409E"/>
    <w:rsid w:val="005A2C07"/>
    <w:rsid w:val="005B2C79"/>
    <w:rsid w:val="005B453D"/>
    <w:rsid w:val="005C0B3B"/>
    <w:rsid w:val="005C3D03"/>
    <w:rsid w:val="005C6649"/>
    <w:rsid w:val="005E721B"/>
    <w:rsid w:val="005E723C"/>
    <w:rsid w:val="005E7B89"/>
    <w:rsid w:val="005F0828"/>
    <w:rsid w:val="00600D30"/>
    <w:rsid w:val="00600E7F"/>
    <w:rsid w:val="00605827"/>
    <w:rsid w:val="006216FA"/>
    <w:rsid w:val="00624753"/>
    <w:rsid w:val="00641726"/>
    <w:rsid w:val="00646050"/>
    <w:rsid w:val="00650C02"/>
    <w:rsid w:val="0065280C"/>
    <w:rsid w:val="006704E2"/>
    <w:rsid w:val="006713CA"/>
    <w:rsid w:val="00671D94"/>
    <w:rsid w:val="00672489"/>
    <w:rsid w:val="00672685"/>
    <w:rsid w:val="00672C45"/>
    <w:rsid w:val="006763B8"/>
    <w:rsid w:val="00676C5C"/>
    <w:rsid w:val="00682393"/>
    <w:rsid w:val="00684D88"/>
    <w:rsid w:val="00685559"/>
    <w:rsid w:val="0069026A"/>
    <w:rsid w:val="006A5AAB"/>
    <w:rsid w:val="006B11BA"/>
    <w:rsid w:val="006B5C12"/>
    <w:rsid w:val="006B61BF"/>
    <w:rsid w:val="006C113F"/>
    <w:rsid w:val="006C5E66"/>
    <w:rsid w:val="006D03D2"/>
    <w:rsid w:val="006D27D2"/>
    <w:rsid w:val="006D309E"/>
    <w:rsid w:val="006D4F94"/>
    <w:rsid w:val="006D578E"/>
    <w:rsid w:val="006D6C50"/>
    <w:rsid w:val="006D7AAB"/>
    <w:rsid w:val="006D7C7A"/>
    <w:rsid w:val="006E1C7A"/>
    <w:rsid w:val="006E2D95"/>
    <w:rsid w:val="006F26FB"/>
    <w:rsid w:val="006F641A"/>
    <w:rsid w:val="00707BB4"/>
    <w:rsid w:val="00710A03"/>
    <w:rsid w:val="007161B4"/>
    <w:rsid w:val="00720EFD"/>
    <w:rsid w:val="00730976"/>
    <w:rsid w:val="00731F15"/>
    <w:rsid w:val="00747A77"/>
    <w:rsid w:val="00750C1A"/>
    <w:rsid w:val="007541BE"/>
    <w:rsid w:val="00757896"/>
    <w:rsid w:val="00767AF9"/>
    <w:rsid w:val="00777548"/>
    <w:rsid w:val="007854AF"/>
    <w:rsid w:val="007911D1"/>
    <w:rsid w:val="0079149A"/>
    <w:rsid w:val="00793A7C"/>
    <w:rsid w:val="007969D1"/>
    <w:rsid w:val="007A398A"/>
    <w:rsid w:val="007C2853"/>
    <w:rsid w:val="007C4902"/>
    <w:rsid w:val="007D1613"/>
    <w:rsid w:val="007D1A8B"/>
    <w:rsid w:val="007E1C6B"/>
    <w:rsid w:val="007E4889"/>
    <w:rsid w:val="007E4C0E"/>
    <w:rsid w:val="007F2C24"/>
    <w:rsid w:val="00807F64"/>
    <w:rsid w:val="008243C0"/>
    <w:rsid w:val="00825DE5"/>
    <w:rsid w:val="00832717"/>
    <w:rsid w:val="0084266B"/>
    <w:rsid w:val="00843FC7"/>
    <w:rsid w:val="00845572"/>
    <w:rsid w:val="008629F3"/>
    <w:rsid w:val="008640A0"/>
    <w:rsid w:val="0087452D"/>
    <w:rsid w:val="008A0924"/>
    <w:rsid w:val="008A134B"/>
    <w:rsid w:val="008A7C37"/>
    <w:rsid w:val="008B1E0F"/>
    <w:rsid w:val="008B2CC1"/>
    <w:rsid w:val="008B60B2"/>
    <w:rsid w:val="008C2A2F"/>
    <w:rsid w:val="008C2C3E"/>
    <w:rsid w:val="008D1BBF"/>
    <w:rsid w:val="008D2F68"/>
    <w:rsid w:val="009051CA"/>
    <w:rsid w:val="0090731E"/>
    <w:rsid w:val="0091145F"/>
    <w:rsid w:val="00913E34"/>
    <w:rsid w:val="00916EE2"/>
    <w:rsid w:val="00923565"/>
    <w:rsid w:val="00926F77"/>
    <w:rsid w:val="00930A31"/>
    <w:rsid w:val="0093527D"/>
    <w:rsid w:val="00941D48"/>
    <w:rsid w:val="0094554E"/>
    <w:rsid w:val="00947238"/>
    <w:rsid w:val="00966A22"/>
    <w:rsid w:val="0096722F"/>
    <w:rsid w:val="00980843"/>
    <w:rsid w:val="0099406E"/>
    <w:rsid w:val="009B0855"/>
    <w:rsid w:val="009B48A1"/>
    <w:rsid w:val="009C0DD5"/>
    <w:rsid w:val="009D1FDC"/>
    <w:rsid w:val="009D2E78"/>
    <w:rsid w:val="009D3072"/>
    <w:rsid w:val="009D3A30"/>
    <w:rsid w:val="009E1721"/>
    <w:rsid w:val="009E2791"/>
    <w:rsid w:val="009E3F6F"/>
    <w:rsid w:val="009E4439"/>
    <w:rsid w:val="009F499F"/>
    <w:rsid w:val="00A00332"/>
    <w:rsid w:val="00A100D5"/>
    <w:rsid w:val="00A13497"/>
    <w:rsid w:val="00A15568"/>
    <w:rsid w:val="00A2747B"/>
    <w:rsid w:val="00A33241"/>
    <w:rsid w:val="00A33988"/>
    <w:rsid w:val="00A3481F"/>
    <w:rsid w:val="00A37342"/>
    <w:rsid w:val="00A41FCF"/>
    <w:rsid w:val="00A42DAF"/>
    <w:rsid w:val="00A45BD8"/>
    <w:rsid w:val="00A474F0"/>
    <w:rsid w:val="00A7527A"/>
    <w:rsid w:val="00A76306"/>
    <w:rsid w:val="00A778CB"/>
    <w:rsid w:val="00A869B7"/>
    <w:rsid w:val="00A90F0A"/>
    <w:rsid w:val="00AA29A3"/>
    <w:rsid w:val="00AC205C"/>
    <w:rsid w:val="00AD2BC9"/>
    <w:rsid w:val="00AD30FC"/>
    <w:rsid w:val="00AE1EC1"/>
    <w:rsid w:val="00AF0A6B"/>
    <w:rsid w:val="00AF4F00"/>
    <w:rsid w:val="00AF5615"/>
    <w:rsid w:val="00B008AE"/>
    <w:rsid w:val="00B05A69"/>
    <w:rsid w:val="00B14F5B"/>
    <w:rsid w:val="00B21286"/>
    <w:rsid w:val="00B325CB"/>
    <w:rsid w:val="00B331D8"/>
    <w:rsid w:val="00B332E6"/>
    <w:rsid w:val="00B42CA9"/>
    <w:rsid w:val="00B51FF7"/>
    <w:rsid w:val="00B5767A"/>
    <w:rsid w:val="00B75281"/>
    <w:rsid w:val="00B754E1"/>
    <w:rsid w:val="00B803F5"/>
    <w:rsid w:val="00B831AA"/>
    <w:rsid w:val="00B90992"/>
    <w:rsid w:val="00B92F1F"/>
    <w:rsid w:val="00B9734B"/>
    <w:rsid w:val="00BA1EDF"/>
    <w:rsid w:val="00BA29C8"/>
    <w:rsid w:val="00BA2F59"/>
    <w:rsid w:val="00BA30E2"/>
    <w:rsid w:val="00BA3963"/>
    <w:rsid w:val="00BB571E"/>
    <w:rsid w:val="00BB781F"/>
    <w:rsid w:val="00BC3832"/>
    <w:rsid w:val="00BC3EAF"/>
    <w:rsid w:val="00BC6536"/>
    <w:rsid w:val="00BD2EC9"/>
    <w:rsid w:val="00BE295E"/>
    <w:rsid w:val="00BE559E"/>
    <w:rsid w:val="00BE735D"/>
    <w:rsid w:val="00C0013E"/>
    <w:rsid w:val="00C02F04"/>
    <w:rsid w:val="00C11BFE"/>
    <w:rsid w:val="00C137F3"/>
    <w:rsid w:val="00C2086B"/>
    <w:rsid w:val="00C32E43"/>
    <w:rsid w:val="00C3436A"/>
    <w:rsid w:val="00C43668"/>
    <w:rsid w:val="00C43F6C"/>
    <w:rsid w:val="00C5068F"/>
    <w:rsid w:val="00C511E5"/>
    <w:rsid w:val="00C53D5B"/>
    <w:rsid w:val="00C728E3"/>
    <w:rsid w:val="00C73194"/>
    <w:rsid w:val="00C742CC"/>
    <w:rsid w:val="00C74BB4"/>
    <w:rsid w:val="00C86D74"/>
    <w:rsid w:val="00C91553"/>
    <w:rsid w:val="00C91838"/>
    <w:rsid w:val="00C925DD"/>
    <w:rsid w:val="00C925E7"/>
    <w:rsid w:val="00C93B6C"/>
    <w:rsid w:val="00CB3DBA"/>
    <w:rsid w:val="00CC2CDF"/>
    <w:rsid w:val="00CC3E2D"/>
    <w:rsid w:val="00CD04F1"/>
    <w:rsid w:val="00CD1944"/>
    <w:rsid w:val="00CD4099"/>
    <w:rsid w:val="00CD56D7"/>
    <w:rsid w:val="00CD5ADE"/>
    <w:rsid w:val="00CE0CED"/>
    <w:rsid w:val="00CE19F8"/>
    <w:rsid w:val="00CE7257"/>
    <w:rsid w:val="00CF21E9"/>
    <w:rsid w:val="00CF5BB7"/>
    <w:rsid w:val="00CF681A"/>
    <w:rsid w:val="00D033D4"/>
    <w:rsid w:val="00D07C78"/>
    <w:rsid w:val="00D10CD1"/>
    <w:rsid w:val="00D123E2"/>
    <w:rsid w:val="00D125D8"/>
    <w:rsid w:val="00D242A7"/>
    <w:rsid w:val="00D32E3E"/>
    <w:rsid w:val="00D37BB6"/>
    <w:rsid w:val="00D41EE0"/>
    <w:rsid w:val="00D45252"/>
    <w:rsid w:val="00D474E6"/>
    <w:rsid w:val="00D50A16"/>
    <w:rsid w:val="00D512F3"/>
    <w:rsid w:val="00D60B2C"/>
    <w:rsid w:val="00D62282"/>
    <w:rsid w:val="00D635F0"/>
    <w:rsid w:val="00D67EAE"/>
    <w:rsid w:val="00D71B4D"/>
    <w:rsid w:val="00D7681B"/>
    <w:rsid w:val="00D83FA7"/>
    <w:rsid w:val="00D85882"/>
    <w:rsid w:val="00D90B96"/>
    <w:rsid w:val="00D93D55"/>
    <w:rsid w:val="00D949DD"/>
    <w:rsid w:val="00D95C3F"/>
    <w:rsid w:val="00DA1831"/>
    <w:rsid w:val="00DA4C40"/>
    <w:rsid w:val="00DC0F46"/>
    <w:rsid w:val="00DC17E3"/>
    <w:rsid w:val="00DC3945"/>
    <w:rsid w:val="00DD65C8"/>
    <w:rsid w:val="00DD742D"/>
    <w:rsid w:val="00DD7B7F"/>
    <w:rsid w:val="00DE56AF"/>
    <w:rsid w:val="00DE76B4"/>
    <w:rsid w:val="00DF09C9"/>
    <w:rsid w:val="00DF7A4B"/>
    <w:rsid w:val="00E13090"/>
    <w:rsid w:val="00E15015"/>
    <w:rsid w:val="00E15D73"/>
    <w:rsid w:val="00E16C61"/>
    <w:rsid w:val="00E17738"/>
    <w:rsid w:val="00E3169B"/>
    <w:rsid w:val="00E319DF"/>
    <w:rsid w:val="00E335FE"/>
    <w:rsid w:val="00E34683"/>
    <w:rsid w:val="00E402BB"/>
    <w:rsid w:val="00E53AC9"/>
    <w:rsid w:val="00E63AB8"/>
    <w:rsid w:val="00E655A0"/>
    <w:rsid w:val="00E66CC5"/>
    <w:rsid w:val="00E70950"/>
    <w:rsid w:val="00E804AB"/>
    <w:rsid w:val="00E85B62"/>
    <w:rsid w:val="00E87112"/>
    <w:rsid w:val="00EA2B00"/>
    <w:rsid w:val="00EA7D6E"/>
    <w:rsid w:val="00EB2F76"/>
    <w:rsid w:val="00EC2B42"/>
    <w:rsid w:val="00EC4E49"/>
    <w:rsid w:val="00ED01FF"/>
    <w:rsid w:val="00ED6EB7"/>
    <w:rsid w:val="00ED77FB"/>
    <w:rsid w:val="00EE307E"/>
    <w:rsid w:val="00EE3485"/>
    <w:rsid w:val="00EE45FA"/>
    <w:rsid w:val="00EE6229"/>
    <w:rsid w:val="00EF1011"/>
    <w:rsid w:val="00F019F2"/>
    <w:rsid w:val="00F033A4"/>
    <w:rsid w:val="00F043DE"/>
    <w:rsid w:val="00F10917"/>
    <w:rsid w:val="00F10E7C"/>
    <w:rsid w:val="00F131E4"/>
    <w:rsid w:val="00F16A5A"/>
    <w:rsid w:val="00F248CE"/>
    <w:rsid w:val="00F41786"/>
    <w:rsid w:val="00F6004C"/>
    <w:rsid w:val="00F6175D"/>
    <w:rsid w:val="00F64750"/>
    <w:rsid w:val="00F66152"/>
    <w:rsid w:val="00F7203E"/>
    <w:rsid w:val="00F76CB4"/>
    <w:rsid w:val="00F779D8"/>
    <w:rsid w:val="00F80C98"/>
    <w:rsid w:val="00F90C07"/>
    <w:rsid w:val="00F9165B"/>
    <w:rsid w:val="00F921C9"/>
    <w:rsid w:val="00F95AE1"/>
    <w:rsid w:val="00FA17DA"/>
    <w:rsid w:val="00FA308C"/>
    <w:rsid w:val="00FA44A9"/>
    <w:rsid w:val="00FA6CAF"/>
    <w:rsid w:val="00FB108C"/>
    <w:rsid w:val="00FB6373"/>
    <w:rsid w:val="00FC438C"/>
    <w:rsid w:val="00FC482F"/>
    <w:rsid w:val="00FD0B86"/>
    <w:rsid w:val="00FD24E2"/>
    <w:rsid w:val="00FD5AF0"/>
    <w:rsid w:val="00FE0962"/>
    <w:rsid w:val="00FE132C"/>
    <w:rsid w:val="00FE5D75"/>
    <w:rsid w:val="00FF1CF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73BC5"/>
  <w15:docId w15:val="{A244D00F-46C7-4F7C-9484-47B1DBD2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character" w:styleId="Hyperlink">
    <w:name w:val="Hyperlink"/>
    <w:basedOn w:val="DefaultParagraphFont"/>
    <w:unhideWhenUsed/>
    <w:rsid w:val="006D03D2"/>
    <w:rPr>
      <w:color w:val="0000FF" w:themeColor="hyperlink"/>
      <w:u w:val="single"/>
    </w:rPr>
  </w:style>
  <w:style w:type="character" w:customStyle="1" w:styleId="UnresolvedMention">
    <w:name w:val="Unresolved Mention"/>
    <w:basedOn w:val="DefaultParagraphFont"/>
    <w:uiPriority w:val="99"/>
    <w:semiHidden/>
    <w:unhideWhenUsed/>
    <w:rsid w:val="00390119"/>
    <w:rPr>
      <w:color w:val="605E5C"/>
      <w:shd w:val="clear" w:color="auto" w:fill="E1DFDD"/>
    </w:rPr>
  </w:style>
  <w:style w:type="paragraph" w:styleId="BalloonText">
    <w:name w:val="Balloon Text"/>
    <w:basedOn w:val="Normal"/>
    <w:link w:val="BalloonTextChar"/>
    <w:semiHidden/>
    <w:unhideWhenUsed/>
    <w:rsid w:val="00F019F2"/>
    <w:rPr>
      <w:rFonts w:ascii="Segoe UI" w:hAnsi="Segoe UI" w:cs="Segoe UI"/>
      <w:sz w:val="18"/>
      <w:szCs w:val="18"/>
    </w:rPr>
  </w:style>
  <w:style w:type="character" w:customStyle="1" w:styleId="BalloonTextChar">
    <w:name w:val="Balloon Text Char"/>
    <w:basedOn w:val="DefaultParagraphFont"/>
    <w:link w:val="BalloonText"/>
    <w:semiHidden/>
    <w:rsid w:val="00F019F2"/>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docs/cws/ar/cws_9/cws_9_2-annex1.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43BE-E9F1-4F62-BF0A-61A5473F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8259</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CWS/9/1 PROV. (Arabic)</vt:lpstr>
      <vt:lpstr>CWS/9/1 PROV. (Arabic)</vt:lpstr>
    </vt:vector>
  </TitlesOfParts>
  <Company>WIPO</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dc:title>
  <dc:creator>WIPO</dc:creator>
  <cp:keywords>FOR OFFICIAL USE ONLY</cp:keywords>
  <cp:lastModifiedBy>CHAVAS Louison</cp:lastModifiedBy>
  <cp:revision>3</cp:revision>
  <cp:lastPrinted>2021-10-11T15:54:00Z</cp:lastPrinted>
  <dcterms:created xsi:type="dcterms:W3CDTF">2021-10-14T12:54:00Z</dcterms:created>
  <dcterms:modified xsi:type="dcterms:W3CDTF">2021-10-14T12:55:00Z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