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12E5F" w:rsidRPr="008B2CC1" w:rsidTr="00A7679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12E5F" w:rsidRPr="008B2CC1" w:rsidRDefault="00112E5F" w:rsidP="00AB0FB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E5F" w:rsidRPr="008B2CC1" w:rsidRDefault="00112E5F" w:rsidP="00AB0FBD">
            <w:r>
              <w:rPr>
                <w:noProof/>
              </w:rPr>
              <w:drawing>
                <wp:inline distT="0" distB="0" distL="0" distR="0" wp14:anchorId="441203E1" wp14:editId="022BAEE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12E5F" w:rsidRPr="008B2CC1" w:rsidRDefault="00112E5F" w:rsidP="00AB0FBD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12E5F" w:rsidRPr="00BC68FC" w:rsidTr="00A7679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12E5F" w:rsidRPr="0090731E" w:rsidRDefault="00112E5F" w:rsidP="00AB0FB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cws/5/12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12E5F" w:rsidRPr="00BC68FC" w:rsidTr="00A767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12E5F" w:rsidRPr="0090731E" w:rsidRDefault="00112E5F" w:rsidP="00AB0FB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112E5F" w:rsidRPr="00BC68FC" w:rsidTr="00A767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12E5F" w:rsidRPr="0090731E" w:rsidRDefault="00112E5F" w:rsidP="00AB0FB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155">
              <w:rPr>
                <w:rFonts w:ascii="Arial Black" w:hAnsi="Arial Black"/>
                <w:caps/>
                <w:sz w:val="15"/>
              </w:rPr>
              <w:t xml:space="preserve">DATE:  </w:t>
            </w:r>
            <w:r>
              <w:rPr>
                <w:rFonts w:ascii="Arial Black" w:hAnsi="Arial Black"/>
                <w:caps/>
                <w:sz w:val="15"/>
              </w:rPr>
              <w:t>April</w:t>
            </w:r>
            <w:r w:rsidRPr="007D33AD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11</w:t>
            </w:r>
            <w:r w:rsidRPr="00C70155">
              <w:rPr>
                <w:rFonts w:ascii="Arial Black" w:hAnsi="Arial Black"/>
                <w:caps/>
                <w:sz w:val="15"/>
              </w:rPr>
              <w:t>, 201</w:t>
            </w:r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12E5F" w:rsidRPr="008B2CC1" w:rsidRDefault="00112E5F" w:rsidP="00AB0FBD"/>
    <w:p w:rsidR="00112E5F" w:rsidRPr="008B2CC1" w:rsidRDefault="00112E5F" w:rsidP="00AB0FBD"/>
    <w:p w:rsidR="00112E5F" w:rsidRPr="008B2CC1" w:rsidRDefault="00112E5F" w:rsidP="00AB0FBD"/>
    <w:p w:rsidR="00112E5F" w:rsidRPr="008B2CC1" w:rsidRDefault="00112E5F" w:rsidP="00AB0FBD"/>
    <w:p w:rsidR="00112E5F" w:rsidRPr="008B2CC1" w:rsidRDefault="00112E5F" w:rsidP="00AB0FBD"/>
    <w:p w:rsidR="00112E5F" w:rsidRPr="003845C1" w:rsidRDefault="00112E5F" w:rsidP="00AB0FBD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112E5F" w:rsidRDefault="00112E5F" w:rsidP="00AB0FBD"/>
    <w:p w:rsidR="00112E5F" w:rsidRDefault="00112E5F" w:rsidP="00AB0FBD"/>
    <w:p w:rsidR="00112E5F" w:rsidRPr="003845C1" w:rsidRDefault="00112E5F" w:rsidP="00AB0FBD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Fifth</w:t>
      </w:r>
      <w:r w:rsidRPr="00774501">
        <w:rPr>
          <w:b/>
          <w:sz w:val="24"/>
          <w:szCs w:val="24"/>
        </w:rPr>
        <w:t xml:space="preserve"> Session</w:t>
      </w:r>
    </w:p>
    <w:p w:rsidR="00112E5F" w:rsidRPr="003845C1" w:rsidRDefault="00112E5F" w:rsidP="00AB0FBD">
      <w:pPr>
        <w:rPr>
          <w:b/>
          <w:sz w:val="24"/>
          <w:szCs w:val="24"/>
        </w:rPr>
      </w:pPr>
      <w:r w:rsidRPr="00774501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7745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</w:t>
      </w:r>
      <w:r w:rsidRPr="00774501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774501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112E5F" w:rsidRPr="008B2CC1" w:rsidRDefault="00112E5F" w:rsidP="00AB0FBD"/>
    <w:p w:rsidR="00112E5F" w:rsidRPr="008B2CC1" w:rsidRDefault="00112E5F" w:rsidP="00AB0FBD"/>
    <w:p w:rsidR="00112E5F" w:rsidRPr="008B2CC1" w:rsidRDefault="00112E5F" w:rsidP="00AB0FBD"/>
    <w:p w:rsidR="00112E5F" w:rsidRDefault="006B0C07" w:rsidP="00AB0FBD">
      <w:r w:rsidRPr="00112E5F">
        <w:rPr>
          <w:rFonts w:eastAsia="SimSun"/>
          <w:sz w:val="24"/>
          <w:lang w:eastAsia="zh-CN"/>
        </w:rPr>
        <w:t xml:space="preserve">REPORT </w:t>
      </w:r>
      <w:r>
        <w:rPr>
          <w:rFonts w:eastAsia="SimSun"/>
          <w:sz w:val="24"/>
          <w:lang w:eastAsia="zh-CN"/>
        </w:rPr>
        <w:t>O</w:t>
      </w:r>
      <w:r w:rsidRPr="00112E5F">
        <w:rPr>
          <w:rFonts w:eastAsia="SimSun"/>
          <w:sz w:val="24"/>
          <w:lang w:eastAsia="zh-CN"/>
        </w:rPr>
        <w:t xml:space="preserve">N </w:t>
      </w:r>
      <w:r>
        <w:rPr>
          <w:rFonts w:eastAsia="SimSun"/>
          <w:sz w:val="24"/>
          <w:lang w:eastAsia="zh-CN"/>
        </w:rPr>
        <w:t>T</w:t>
      </w:r>
      <w:r w:rsidRPr="00112E5F">
        <w:rPr>
          <w:rFonts w:eastAsia="SimSun"/>
          <w:sz w:val="24"/>
          <w:lang w:eastAsia="zh-CN"/>
        </w:rPr>
        <w:t xml:space="preserve">HE SURVEY </w:t>
      </w:r>
      <w:r>
        <w:rPr>
          <w:rFonts w:eastAsia="SimSun"/>
          <w:sz w:val="24"/>
          <w:lang w:eastAsia="zh-CN"/>
        </w:rPr>
        <w:t>ON APPLICATION A</w:t>
      </w:r>
      <w:r w:rsidRPr="00112E5F">
        <w:rPr>
          <w:rFonts w:eastAsia="SimSun"/>
          <w:sz w:val="24"/>
          <w:lang w:eastAsia="zh-CN"/>
        </w:rPr>
        <w:t>ND PRIORITY APPL</w:t>
      </w:r>
      <w:r>
        <w:rPr>
          <w:rFonts w:eastAsia="SimSun"/>
          <w:sz w:val="24"/>
          <w:lang w:eastAsia="zh-CN"/>
        </w:rPr>
        <w:t>ICATION NUMBERING SYSTEMS USED B</w:t>
      </w:r>
      <w:r w:rsidRPr="00112E5F">
        <w:rPr>
          <w:rFonts w:eastAsia="SimSun"/>
          <w:sz w:val="24"/>
          <w:lang w:eastAsia="zh-CN"/>
        </w:rPr>
        <w:t xml:space="preserve">Y INDUSTRIAL PROPERTY OFFICES </w:t>
      </w:r>
      <w:r>
        <w:rPr>
          <w:rFonts w:eastAsia="SimSun"/>
          <w:sz w:val="24"/>
          <w:lang w:eastAsia="zh-CN"/>
        </w:rPr>
        <w:t>I</w:t>
      </w:r>
      <w:r w:rsidRPr="00112E5F">
        <w:rPr>
          <w:rFonts w:eastAsia="SimSun"/>
          <w:sz w:val="24"/>
          <w:lang w:eastAsia="zh-CN"/>
        </w:rPr>
        <w:t xml:space="preserve">N </w:t>
      </w:r>
      <w:r>
        <w:rPr>
          <w:rFonts w:eastAsia="SimSun"/>
          <w:sz w:val="24"/>
          <w:lang w:eastAsia="zh-CN"/>
        </w:rPr>
        <w:t>T</w:t>
      </w:r>
      <w:r w:rsidRPr="00112E5F">
        <w:rPr>
          <w:rFonts w:eastAsia="SimSun"/>
          <w:sz w:val="24"/>
          <w:lang w:eastAsia="zh-CN"/>
        </w:rPr>
        <w:t xml:space="preserve">HE </w:t>
      </w:r>
      <w:r>
        <w:rPr>
          <w:rFonts w:eastAsia="SimSun"/>
          <w:sz w:val="24"/>
          <w:lang w:eastAsia="zh-CN"/>
        </w:rPr>
        <w:t>P</w:t>
      </w:r>
      <w:r w:rsidRPr="00112E5F">
        <w:rPr>
          <w:rFonts w:eastAsia="SimSun"/>
          <w:sz w:val="24"/>
          <w:lang w:eastAsia="zh-CN"/>
        </w:rPr>
        <w:t>AST</w:t>
      </w:r>
    </w:p>
    <w:p w:rsidR="00112E5F" w:rsidRDefault="00112E5F" w:rsidP="00AB0FBD"/>
    <w:p w:rsidR="00112E5F" w:rsidRPr="008B2CC1" w:rsidRDefault="00112E5F" w:rsidP="00AB0FBD"/>
    <w:p w:rsidR="00112E5F" w:rsidRPr="008B2CC1" w:rsidRDefault="00112E5F" w:rsidP="00AB0FBD">
      <w:pPr>
        <w:rPr>
          <w:i/>
        </w:rPr>
      </w:pPr>
      <w:r>
        <w:rPr>
          <w:i/>
        </w:rPr>
        <w:t>Document prepared by the Secretariat</w:t>
      </w:r>
    </w:p>
    <w:p w:rsidR="00112E5F" w:rsidRDefault="00112E5F" w:rsidP="00AB0FBD"/>
    <w:p w:rsidR="00112E5F" w:rsidRDefault="00112E5F" w:rsidP="00AB0FBD"/>
    <w:p w:rsidR="00112E5F" w:rsidRDefault="00112E5F" w:rsidP="00AB0FBD"/>
    <w:p w:rsidR="00112E5F" w:rsidRDefault="00112E5F" w:rsidP="00AB0FBD"/>
    <w:p w:rsidR="00112E5F" w:rsidRDefault="00112E5F" w:rsidP="00AB0FBD"/>
    <w:p w:rsidR="005A405B" w:rsidRDefault="00714444" w:rsidP="00AB0FBD">
      <w:pPr>
        <w:pStyle w:val="ONUME"/>
        <w:numPr>
          <w:ilvl w:val="0"/>
          <w:numId w:val="8"/>
        </w:numPr>
        <w:spacing w:after="120"/>
      </w:pPr>
      <w:r w:rsidRPr="00E131EE">
        <w:t xml:space="preserve">The Committee on WIPO Standards (CWS) at its reconvened fourth session held </w:t>
      </w:r>
      <w:r w:rsidR="00A12A27">
        <w:t>in</w:t>
      </w:r>
      <w:r w:rsidRPr="00E131EE">
        <w:t xml:space="preserve"> March 2016</w:t>
      </w:r>
      <w:r w:rsidR="004F65B8" w:rsidRPr="00E131EE">
        <w:t>,</w:t>
      </w:r>
      <w:r w:rsidRPr="00E131EE">
        <w:t xml:space="preserve"> </w:t>
      </w:r>
      <w:r w:rsidR="005A405B">
        <w:t>approved the questionnaire “Numbering of applications and priority applications – former practices” prepared by the ST.10/C Task Force and requested the International Bureau to carry out the following actions:</w:t>
      </w:r>
    </w:p>
    <w:p w:rsidR="005A405B" w:rsidRDefault="005A405B" w:rsidP="00AB0FBD">
      <w:pPr>
        <w:pStyle w:val="ONUME"/>
        <w:numPr>
          <w:ilvl w:val="0"/>
          <w:numId w:val="0"/>
        </w:numPr>
        <w:spacing w:after="120"/>
        <w:ind w:left="567"/>
      </w:pPr>
      <w:r>
        <w:t>(a)</w:t>
      </w:r>
      <w:r w:rsidR="00040216">
        <w:tab/>
      </w:r>
      <w:proofErr w:type="gramStart"/>
      <w:r>
        <w:t>prepare</w:t>
      </w:r>
      <w:proofErr w:type="gramEnd"/>
      <w:r>
        <w:t xml:space="preserve"> and issue a circular inviting industrial property </w:t>
      </w:r>
      <w:r w:rsidRPr="00DB6703">
        <w:t>(IP)</w:t>
      </w:r>
      <w:r>
        <w:t xml:space="preserve"> offices to complete the questionnaire;</w:t>
      </w:r>
    </w:p>
    <w:p w:rsidR="005A405B" w:rsidRDefault="00040216" w:rsidP="00AB0FBD">
      <w:pPr>
        <w:pStyle w:val="ONUME"/>
        <w:numPr>
          <w:ilvl w:val="0"/>
          <w:numId w:val="0"/>
        </w:numPr>
        <w:spacing w:after="120"/>
        <w:ind w:left="567"/>
      </w:pPr>
      <w:r>
        <w:t>(b)</w:t>
      </w:r>
      <w:r>
        <w:tab/>
      </w:r>
      <w:proofErr w:type="gramStart"/>
      <w:r w:rsidR="005A405B">
        <w:t>prepare</w:t>
      </w:r>
      <w:proofErr w:type="gramEnd"/>
      <w:r w:rsidR="005A405B">
        <w:t xml:space="preserve"> a survey report;</w:t>
      </w:r>
      <w:r w:rsidR="00112E5F">
        <w:t xml:space="preserve"> </w:t>
      </w:r>
      <w:r w:rsidR="005A405B">
        <w:t xml:space="preserve"> and</w:t>
      </w:r>
    </w:p>
    <w:p w:rsidR="005A405B" w:rsidRDefault="00040216" w:rsidP="00AB0FBD">
      <w:pPr>
        <w:pStyle w:val="ONUME"/>
        <w:numPr>
          <w:ilvl w:val="0"/>
          <w:numId w:val="0"/>
        </w:numPr>
        <w:spacing w:after="120"/>
        <w:ind w:left="567"/>
      </w:pPr>
      <w:r>
        <w:t>(c)</w:t>
      </w:r>
      <w:r>
        <w:tab/>
      </w:r>
      <w:r w:rsidR="005A405B">
        <w:t xml:space="preserve">present the results of the survey for consideration by the CWS at its next session in order to approve their publication in Part 7 of the </w:t>
      </w:r>
      <w:r w:rsidR="005A405B" w:rsidRPr="00756531">
        <w:rPr>
          <w:i/>
        </w:rPr>
        <w:t>WIPO Handbook</w:t>
      </w:r>
      <w:r w:rsidR="00756531" w:rsidRPr="00756531">
        <w:rPr>
          <w:i/>
        </w:rPr>
        <w:t xml:space="preserve"> on Industrial Property Information and Documentation</w:t>
      </w:r>
      <w:r w:rsidR="00756531">
        <w:t xml:space="preserve"> (WIPO Handbook)</w:t>
      </w:r>
      <w:r w:rsidR="005A405B">
        <w:t>.</w:t>
      </w:r>
    </w:p>
    <w:p w:rsidR="00C419B8" w:rsidRDefault="00C419B8" w:rsidP="00AB0FBD">
      <w:pPr>
        <w:pStyle w:val="ONUME"/>
        <w:numPr>
          <w:ilvl w:val="0"/>
          <w:numId w:val="0"/>
        </w:numPr>
      </w:pPr>
      <w:r>
        <w:t>(See document CWS/4/4 and paragraphs 29 to 34 of document CWS/4BIS/16</w:t>
      </w:r>
      <w:r w:rsidR="00A06543">
        <w:t>.</w:t>
      </w:r>
      <w:r>
        <w:t>)</w:t>
      </w:r>
    </w:p>
    <w:p w:rsidR="00756531" w:rsidRDefault="00756531" w:rsidP="00AB0FBD">
      <w:pPr>
        <w:pStyle w:val="ONUME"/>
        <w:numPr>
          <w:ilvl w:val="0"/>
          <w:numId w:val="8"/>
        </w:numPr>
      </w:pPr>
      <w:r>
        <w:t>This survey</w:t>
      </w:r>
      <w:r w:rsidR="001727C4">
        <w:t>, once published,</w:t>
      </w:r>
      <w:r>
        <w:t xml:space="preserve"> </w:t>
      </w:r>
      <w:r w:rsidRPr="001727C4">
        <w:t>will</w:t>
      </w:r>
      <w:r>
        <w:t xml:space="preserve"> </w:t>
      </w:r>
      <w:r w:rsidRPr="00756531">
        <w:t>complement the survey “Numbering of applications and priority applications – Current practices”, which is published in Part 7.2.6 of the WIPO Handbook.</w:t>
      </w:r>
    </w:p>
    <w:p w:rsidR="00412870" w:rsidRDefault="00412870" w:rsidP="00AB0FBD">
      <w:pPr>
        <w:pStyle w:val="ONUME"/>
        <w:numPr>
          <w:ilvl w:val="0"/>
          <w:numId w:val="8"/>
        </w:numPr>
      </w:pPr>
      <w:r w:rsidRPr="00412870">
        <w:t xml:space="preserve">Following this decision of the CWS, the International Bureau has issued circulars C.CWS </w:t>
      </w:r>
      <w:r>
        <w:t>73</w:t>
      </w:r>
      <w:r w:rsidRPr="00412870">
        <w:t xml:space="preserve"> of </w:t>
      </w:r>
      <w:r>
        <w:t xml:space="preserve">June </w:t>
      </w:r>
      <w:r w:rsidR="005B7FE9">
        <w:t>16</w:t>
      </w:r>
      <w:r w:rsidRPr="00412870">
        <w:t xml:space="preserve">, 2016, inviting </w:t>
      </w:r>
      <w:r w:rsidR="008345A2" w:rsidRPr="00412870">
        <w:t>IP</w:t>
      </w:r>
      <w:r w:rsidR="008345A2">
        <w:t xml:space="preserve"> </w:t>
      </w:r>
      <w:r w:rsidRPr="00412870">
        <w:t xml:space="preserve">offices to submit </w:t>
      </w:r>
      <w:r w:rsidR="005B7FE9">
        <w:t>responses</w:t>
      </w:r>
      <w:r w:rsidR="00BB4745">
        <w:t xml:space="preserve"> and share information on the former practices of application and priority application numbering</w:t>
      </w:r>
      <w:r w:rsidRPr="00412870">
        <w:t>.</w:t>
      </w:r>
    </w:p>
    <w:p w:rsidR="00B539D7" w:rsidRDefault="00B539D7" w:rsidP="00AB0FBD">
      <w:pPr>
        <w:pStyle w:val="ONUME"/>
        <w:numPr>
          <w:ilvl w:val="0"/>
          <w:numId w:val="8"/>
        </w:numPr>
      </w:pPr>
      <w:r>
        <w:lastRenderedPageBreak/>
        <w:t xml:space="preserve">Along with their responses regarding former application and priority application numbering systems, </w:t>
      </w:r>
      <w:r w:rsidR="00097C55">
        <w:t>the</w:t>
      </w:r>
      <w:r>
        <w:t xml:space="preserve"> IP offices </w:t>
      </w:r>
      <w:r w:rsidR="00097C55">
        <w:t xml:space="preserve">were invited to </w:t>
      </w:r>
      <w:r>
        <w:t>submit or update</w:t>
      </w:r>
      <w:r w:rsidR="00097C55">
        <w:t>, if necessary,</w:t>
      </w:r>
      <w:r>
        <w:t xml:space="preserve"> their entries in Part 7.2.6 of the WIPO Handbook </w:t>
      </w:r>
      <w:r w:rsidR="00C419B8">
        <w:t xml:space="preserve">related to </w:t>
      </w:r>
      <w:r>
        <w:t>current practices</w:t>
      </w:r>
      <w:r w:rsidR="00C419B8">
        <w:t xml:space="preserve"> of application numbering</w:t>
      </w:r>
      <w:r>
        <w:t>.</w:t>
      </w:r>
    </w:p>
    <w:p w:rsidR="00097C55" w:rsidRDefault="00DE4723" w:rsidP="00AB0FBD">
      <w:pPr>
        <w:pStyle w:val="ONUME"/>
        <w:numPr>
          <w:ilvl w:val="0"/>
          <w:numId w:val="8"/>
        </w:numPr>
      </w:pPr>
      <w:r>
        <w:t>According to the work plan for updating surveys published in Part 7 of the WIPO Handbook, t</w:t>
      </w:r>
      <w:r w:rsidR="00097C55">
        <w:t xml:space="preserve">he International Bureau together with Part 7 Task Force </w:t>
      </w:r>
      <w:r w:rsidR="00097C55" w:rsidRPr="00097C55">
        <w:t>incorporat</w:t>
      </w:r>
      <w:r w:rsidR="00097C55">
        <w:t>ed, where it was possible, the</w:t>
      </w:r>
      <w:r w:rsidR="00097C55" w:rsidRPr="00097C55">
        <w:t xml:space="preserve"> information </w:t>
      </w:r>
      <w:r w:rsidR="00097C55">
        <w:t xml:space="preserve">contained in </w:t>
      </w:r>
      <w:r w:rsidR="00097C55" w:rsidRPr="00097C55">
        <w:t>Parts 7.2.1, 7.2.2</w:t>
      </w:r>
      <w:r w:rsidR="00097C55">
        <w:t xml:space="preserve"> and</w:t>
      </w:r>
      <w:r w:rsidR="00097C55" w:rsidRPr="00097C55">
        <w:t xml:space="preserve"> 7.2.3</w:t>
      </w:r>
      <w:r w:rsidR="00097C55">
        <w:t xml:space="preserve"> of the WIPO Handbook into Part 7.2.6 and new Part 7.2.7 of the WIPO Handbook (</w:t>
      </w:r>
      <w:r w:rsidR="008345A2">
        <w:t>s</w:t>
      </w:r>
      <w:r w:rsidR="00097C55">
        <w:t>ee Annex II to document CWS/4BIS/6)</w:t>
      </w:r>
      <w:r>
        <w:t>.</w:t>
      </w:r>
    </w:p>
    <w:p w:rsidR="00953309" w:rsidRDefault="00953309" w:rsidP="00AB0FBD">
      <w:pPr>
        <w:pStyle w:val="ONUME"/>
        <w:numPr>
          <w:ilvl w:val="0"/>
          <w:numId w:val="8"/>
        </w:numPr>
        <w:spacing w:after="120"/>
      </w:pPr>
      <w:r>
        <w:t xml:space="preserve">The following </w:t>
      </w:r>
      <w:r w:rsidR="006E6D41">
        <w:t xml:space="preserve">18 </w:t>
      </w:r>
      <w:r>
        <w:t>entries were updated</w:t>
      </w:r>
      <w:r w:rsidR="006E6D41">
        <w:t xml:space="preserve"> </w:t>
      </w:r>
      <w:r w:rsidR="00166BD3">
        <w:t xml:space="preserve">in </w:t>
      </w:r>
      <w:r w:rsidR="006E6D41">
        <w:t>or added to Part 7.2.6 of the WIPO Handbook</w:t>
      </w:r>
      <w: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953309" w:rsidRPr="007B2AAC" w:rsidTr="006E6D41">
        <w:tc>
          <w:tcPr>
            <w:tcW w:w="648" w:type="dxa"/>
          </w:tcPr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53309">
              <w:rPr>
                <w:lang w:val="fr-FR"/>
              </w:rPr>
              <w:t>AT</w:t>
            </w:r>
          </w:p>
          <w:p w:rsidR="00953309" w:rsidRPr="000E71F4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0E71F4">
              <w:rPr>
                <w:lang w:val="fr-FR"/>
              </w:rPr>
              <w:t>AU</w:t>
            </w:r>
          </w:p>
          <w:p w:rsidR="00953309" w:rsidRPr="000E71F4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0E71F4">
              <w:rPr>
                <w:lang w:val="fr-FR"/>
              </w:rPr>
              <w:t>B</w:t>
            </w:r>
            <w:r>
              <w:rPr>
                <w:lang w:val="fr-FR"/>
              </w:rPr>
              <w:t>E</w:t>
            </w:r>
          </w:p>
          <w:p w:rsidR="00953309" w:rsidRPr="000E71F4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0E71F4">
              <w:rPr>
                <w:lang w:val="fr-FR"/>
              </w:rPr>
              <w:t>CN</w:t>
            </w:r>
          </w:p>
          <w:p w:rsidR="00953309" w:rsidRP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53309">
              <w:rPr>
                <w:lang w:val="fr-FR"/>
              </w:rPr>
              <w:t>DE</w:t>
            </w:r>
          </w:p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>
              <w:rPr>
                <w:lang w:val="fr-FR"/>
              </w:rPr>
              <w:t>ES</w:t>
            </w:r>
          </w:p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>
              <w:t>GB</w:t>
            </w:r>
          </w:p>
          <w:p w:rsidR="00953309" w:rsidRP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953309">
              <w:rPr>
                <w:lang w:val="fr-FR"/>
              </w:rPr>
              <w:t>HR</w:t>
            </w:r>
          </w:p>
          <w:p w:rsidR="00953309" w:rsidRPr="007B2AAC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IE</w:t>
            </w:r>
          </w:p>
        </w:tc>
        <w:tc>
          <w:tcPr>
            <w:tcW w:w="3933" w:type="dxa"/>
          </w:tcPr>
          <w:p w:rsidR="00953309" w:rsidRP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Austria</w:t>
            </w:r>
          </w:p>
          <w:p w:rsidR="00953309" w:rsidRP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953309">
              <w:t>Australia</w:t>
            </w:r>
          </w:p>
          <w:p w:rsidR="00953309" w:rsidRP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Belgium</w:t>
            </w:r>
          </w:p>
          <w:p w:rsidR="00953309" w:rsidRP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953309">
              <w:t>China</w:t>
            </w:r>
          </w:p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Germany</w:t>
            </w:r>
          </w:p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Spain</w:t>
            </w:r>
          </w:p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United Kingdom</w:t>
            </w:r>
          </w:p>
          <w:p w:rsidR="00953309" w:rsidRPr="007B2AAC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Croatia</w:t>
            </w:r>
          </w:p>
          <w:p w:rsidR="00953309" w:rsidRPr="007B2AAC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Ireland</w:t>
            </w:r>
          </w:p>
        </w:tc>
        <w:tc>
          <w:tcPr>
            <w:tcW w:w="720" w:type="dxa"/>
          </w:tcPr>
          <w:p w:rsidR="006E6D41" w:rsidRPr="007B2AAC" w:rsidRDefault="006E6D41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IT</w:t>
            </w:r>
          </w:p>
          <w:p w:rsidR="006E6D41" w:rsidRPr="007B2AAC" w:rsidRDefault="006E6D41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JP</w:t>
            </w:r>
          </w:p>
          <w:p w:rsidR="006E6D41" w:rsidRDefault="006E6D41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KR</w:t>
            </w:r>
          </w:p>
          <w:p w:rsidR="00953309" w:rsidRPr="006E6D41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6E6D41">
              <w:t>MD</w:t>
            </w:r>
          </w:p>
          <w:p w:rsidR="00953309" w:rsidRPr="006E6D41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PL</w:t>
            </w:r>
          </w:p>
          <w:p w:rsidR="00953309" w:rsidRPr="006E6D41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6E6D41">
              <w:t>RU</w:t>
            </w:r>
          </w:p>
          <w:p w:rsidR="00953309" w:rsidRPr="000E71F4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fr-FR"/>
              </w:rPr>
            </w:pPr>
            <w:r w:rsidRPr="000E71F4">
              <w:rPr>
                <w:lang w:val="fr-FR"/>
              </w:rPr>
              <w:t>SA</w:t>
            </w:r>
          </w:p>
          <w:p w:rsidR="00953309" w:rsidRPr="005063A6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5063A6">
              <w:t>SE</w:t>
            </w:r>
          </w:p>
          <w:p w:rsidR="00953309" w:rsidRPr="007B2AAC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5063A6">
              <w:t>SK</w:t>
            </w:r>
          </w:p>
        </w:tc>
        <w:tc>
          <w:tcPr>
            <w:tcW w:w="2970" w:type="dxa"/>
          </w:tcPr>
          <w:p w:rsidR="006E6D41" w:rsidRDefault="006E6D41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Italy</w:t>
            </w:r>
          </w:p>
          <w:p w:rsidR="006E6D41" w:rsidRPr="007B2AAC" w:rsidRDefault="006E6D41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Japan</w:t>
            </w:r>
          </w:p>
          <w:p w:rsidR="006E6D41" w:rsidRDefault="006E6D41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Republic of Korea</w:t>
            </w:r>
          </w:p>
          <w:p w:rsidR="00953309" w:rsidRPr="007B2AAC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Republic of Moldova</w:t>
            </w:r>
          </w:p>
          <w:p w:rsidR="00953309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>
              <w:t>Poland</w:t>
            </w:r>
          </w:p>
          <w:p w:rsidR="00953309" w:rsidRPr="007B2AAC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7B2AAC">
              <w:t>Russian Federation</w:t>
            </w:r>
          </w:p>
          <w:p w:rsidR="00953309" w:rsidRPr="00DB6703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DB6703">
              <w:t>Saudi Arabia</w:t>
            </w:r>
          </w:p>
          <w:p w:rsidR="00953309" w:rsidRPr="00DB6703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</w:pPr>
            <w:r w:rsidRPr="00DB6703">
              <w:t>Sweden</w:t>
            </w:r>
          </w:p>
          <w:p w:rsidR="00953309" w:rsidRPr="006E6D41" w:rsidRDefault="00953309" w:rsidP="00AB0FBD">
            <w:pPr>
              <w:pStyle w:val="ONUMFS"/>
              <w:numPr>
                <w:ilvl w:val="0"/>
                <w:numId w:val="0"/>
              </w:numPr>
              <w:spacing w:after="60"/>
              <w:rPr>
                <w:lang w:val="es-ES_tradnl"/>
              </w:rPr>
            </w:pPr>
            <w:proofErr w:type="spellStart"/>
            <w:r w:rsidRPr="000E71F4">
              <w:rPr>
                <w:lang w:val="es-ES_tradnl"/>
              </w:rPr>
              <w:t>Slovakia</w:t>
            </w:r>
            <w:proofErr w:type="spellEnd"/>
          </w:p>
        </w:tc>
      </w:tr>
    </w:tbl>
    <w:p w:rsidR="00953309" w:rsidRDefault="006E6D41" w:rsidP="00AB0FBD">
      <w:pPr>
        <w:pStyle w:val="ONUME"/>
        <w:numPr>
          <w:ilvl w:val="0"/>
          <w:numId w:val="0"/>
        </w:numPr>
        <w:spacing w:before="120"/>
      </w:pPr>
      <w:r>
        <w:t xml:space="preserve">The International Bureau published the revised Part 7.2.6 of the WIPO Handbook in March 2017 at </w:t>
      </w:r>
      <w:hyperlink r:id="rId9" w:history="1">
        <w:r w:rsidR="008345A2" w:rsidRPr="001C4852">
          <w:rPr>
            <w:rStyle w:val="Hyperlink"/>
          </w:rPr>
          <w:t>http://www.wipo.int/standards/en/pdf/07-02-06.pdf</w:t>
        </w:r>
      </w:hyperlink>
      <w:r>
        <w:t>.</w:t>
      </w:r>
    </w:p>
    <w:p w:rsidR="00B539D7" w:rsidRDefault="00DE4723" w:rsidP="00AB0FBD">
      <w:pPr>
        <w:pStyle w:val="ONUME"/>
        <w:numPr>
          <w:ilvl w:val="0"/>
          <w:numId w:val="8"/>
        </w:numPr>
      </w:pPr>
      <w:r>
        <w:t>The results of the survey on former practices of application and priority application numbering are presented in the Annex to this document for consideration and</w:t>
      </w:r>
      <w:r w:rsidRPr="00DE4723">
        <w:t xml:space="preserve"> </w:t>
      </w:r>
      <w:r w:rsidR="00166BD3">
        <w:t>decision</w:t>
      </w:r>
      <w:r>
        <w:t xml:space="preserve"> </w:t>
      </w:r>
      <w:r w:rsidR="008345A2">
        <w:t xml:space="preserve">by the CWS </w:t>
      </w:r>
      <w:r w:rsidR="00166BD3">
        <w:t>for</w:t>
      </w:r>
      <w:r>
        <w:t xml:space="preserve"> their publication as </w:t>
      </w:r>
      <w:r w:rsidR="006E6D41">
        <w:t xml:space="preserve">new </w:t>
      </w:r>
      <w:r>
        <w:t>Part 7.2.7 of the WIPO Handbook.</w:t>
      </w:r>
    </w:p>
    <w:p w:rsidR="00DE4723" w:rsidRDefault="00DE4723" w:rsidP="00AB0FBD">
      <w:pPr>
        <w:pStyle w:val="ONUME"/>
        <w:numPr>
          <w:ilvl w:val="0"/>
          <w:numId w:val="8"/>
        </w:numPr>
        <w:spacing w:after="0"/>
      </w:pPr>
      <w:r>
        <w:t xml:space="preserve">If the </w:t>
      </w:r>
      <w:r w:rsidR="005A405B">
        <w:t xml:space="preserve">CWS </w:t>
      </w:r>
      <w:r>
        <w:t>approves the publication of the survey in the WIPO Handbook, Task No. 30 should be considered completed and removed from the CWS Task List</w:t>
      </w:r>
      <w:bookmarkStart w:id="0" w:name="_GoBack"/>
      <w:proofErr w:type="gramStart"/>
      <w:r w:rsidR="006E6D41">
        <w:t>;</w:t>
      </w:r>
      <w:bookmarkEnd w:id="0"/>
      <w:r>
        <w:t xml:space="preserve"> </w:t>
      </w:r>
      <w:r w:rsidR="00112E5F">
        <w:t xml:space="preserve"> </w:t>
      </w:r>
      <w:r>
        <w:t>ST.10</w:t>
      </w:r>
      <w:proofErr w:type="gramEnd"/>
      <w:r>
        <w:t>/C Task Force should be therefore discontinued.</w:t>
      </w:r>
    </w:p>
    <w:p w:rsidR="00CD5801" w:rsidRPr="00886478" w:rsidRDefault="00CD5801" w:rsidP="00AB0FBD">
      <w:pPr>
        <w:pStyle w:val="ONUME"/>
        <w:numPr>
          <w:ilvl w:val="0"/>
          <w:numId w:val="8"/>
        </w:numPr>
        <w:ind w:left="5529"/>
        <w:rPr>
          <w:i/>
        </w:rPr>
      </w:pPr>
      <w:r w:rsidRPr="00886478">
        <w:rPr>
          <w:i/>
        </w:rPr>
        <w:t>The CWS is invited to:</w:t>
      </w:r>
    </w:p>
    <w:p w:rsidR="00CD5801" w:rsidRPr="00886478" w:rsidRDefault="00CD5801" w:rsidP="00AB0FBD">
      <w:pPr>
        <w:pStyle w:val="ONUME"/>
        <w:numPr>
          <w:ilvl w:val="0"/>
          <w:numId w:val="0"/>
        </w:numPr>
        <w:ind w:left="5529" w:firstLine="567"/>
        <w:rPr>
          <w:i/>
        </w:rPr>
      </w:pPr>
      <w:r w:rsidRPr="00886478">
        <w:rPr>
          <w:i/>
        </w:rPr>
        <w:t>(a)</w:t>
      </w:r>
      <w:r w:rsidR="00166BD3">
        <w:rPr>
          <w:i/>
        </w:rPr>
        <w:tab/>
      </w:r>
      <w:proofErr w:type="gramStart"/>
      <w:r w:rsidRPr="00886478">
        <w:rPr>
          <w:i/>
        </w:rPr>
        <w:t>note</w:t>
      </w:r>
      <w:proofErr w:type="gramEnd"/>
      <w:r w:rsidRPr="00886478">
        <w:rPr>
          <w:i/>
        </w:rPr>
        <w:t xml:space="preserve"> the content of the present document</w:t>
      </w:r>
      <w:r w:rsidR="00B539D7">
        <w:rPr>
          <w:i/>
        </w:rPr>
        <w:t xml:space="preserve"> and its Annex</w:t>
      </w:r>
      <w:r w:rsidRPr="00886478">
        <w:rPr>
          <w:i/>
        </w:rPr>
        <w:t>;</w:t>
      </w:r>
    </w:p>
    <w:p w:rsidR="00B539D7" w:rsidRDefault="00166BD3" w:rsidP="00AB0FBD">
      <w:pPr>
        <w:pStyle w:val="ONUME"/>
        <w:numPr>
          <w:ilvl w:val="0"/>
          <w:numId w:val="0"/>
        </w:numPr>
        <w:ind w:left="5529" w:firstLine="567"/>
        <w:rPr>
          <w:i/>
        </w:rPr>
      </w:pPr>
      <w:r>
        <w:rPr>
          <w:i/>
        </w:rPr>
        <w:t>(b)</w:t>
      </w:r>
      <w:r>
        <w:rPr>
          <w:i/>
        </w:rPr>
        <w:tab/>
      </w:r>
      <w:proofErr w:type="gramStart"/>
      <w:r w:rsidR="00B539D7">
        <w:rPr>
          <w:i/>
        </w:rPr>
        <w:t>note</w:t>
      </w:r>
      <w:proofErr w:type="gramEnd"/>
      <w:r w:rsidR="00B539D7">
        <w:rPr>
          <w:i/>
        </w:rPr>
        <w:t xml:space="preserve"> that Part 7.2.6 of the WIPO Handbook was updated in March 201</w:t>
      </w:r>
      <w:r w:rsidR="006E6D41">
        <w:rPr>
          <w:i/>
        </w:rPr>
        <w:t>7</w:t>
      </w:r>
      <w:r>
        <w:rPr>
          <w:i/>
        </w:rPr>
        <w:t xml:space="preserve">, as </w:t>
      </w:r>
      <w:r w:rsidR="00DE4723">
        <w:rPr>
          <w:i/>
        </w:rPr>
        <w:t>refe</w:t>
      </w:r>
      <w:r>
        <w:rPr>
          <w:i/>
        </w:rPr>
        <w:t>r</w:t>
      </w:r>
      <w:r w:rsidR="00DE4723">
        <w:rPr>
          <w:i/>
        </w:rPr>
        <w:t>r</w:t>
      </w:r>
      <w:r>
        <w:rPr>
          <w:i/>
        </w:rPr>
        <w:t>ed</w:t>
      </w:r>
      <w:r w:rsidR="00DE4723">
        <w:rPr>
          <w:i/>
        </w:rPr>
        <w:t xml:space="preserve"> to</w:t>
      </w:r>
      <w:r>
        <w:rPr>
          <w:i/>
        </w:rPr>
        <w:t xml:space="preserve"> in</w:t>
      </w:r>
      <w:r w:rsidR="00DE4723">
        <w:rPr>
          <w:i/>
        </w:rPr>
        <w:t xml:space="preserve"> paragraphs 4 </w:t>
      </w:r>
      <w:r w:rsidR="00096871">
        <w:rPr>
          <w:i/>
        </w:rPr>
        <w:t>to 6</w:t>
      </w:r>
      <w:r w:rsidR="00DE4723">
        <w:rPr>
          <w:i/>
        </w:rPr>
        <w:t xml:space="preserve"> above</w:t>
      </w:r>
      <w:r w:rsidR="00B539D7">
        <w:rPr>
          <w:i/>
        </w:rPr>
        <w:t>;</w:t>
      </w:r>
    </w:p>
    <w:p w:rsidR="00AB0FBD" w:rsidRDefault="00B539D7" w:rsidP="00AB0FBD">
      <w:pPr>
        <w:pStyle w:val="ONUME"/>
        <w:numPr>
          <w:ilvl w:val="0"/>
          <w:numId w:val="0"/>
        </w:numPr>
        <w:ind w:left="5529" w:firstLine="567"/>
        <w:rPr>
          <w:i/>
        </w:rPr>
      </w:pPr>
      <w:r>
        <w:rPr>
          <w:i/>
        </w:rPr>
        <w:t>(c)</w:t>
      </w:r>
      <w:r w:rsidR="00166BD3">
        <w:rPr>
          <w:i/>
        </w:rPr>
        <w:tab/>
      </w:r>
      <w:r w:rsidR="00CD5801" w:rsidRPr="00886478">
        <w:rPr>
          <w:i/>
        </w:rPr>
        <w:t xml:space="preserve">consider and </w:t>
      </w:r>
      <w:r w:rsidR="008345A2">
        <w:rPr>
          <w:i/>
        </w:rPr>
        <w:t xml:space="preserve">decide on </w:t>
      </w:r>
      <w:r w:rsidR="00CD5801" w:rsidRPr="00886478">
        <w:rPr>
          <w:i/>
        </w:rPr>
        <w:t>the</w:t>
      </w:r>
      <w:r w:rsidR="005A405B">
        <w:rPr>
          <w:i/>
        </w:rPr>
        <w:t xml:space="preserve"> </w:t>
      </w:r>
      <w:r>
        <w:rPr>
          <w:i/>
        </w:rPr>
        <w:t xml:space="preserve">publication of the </w:t>
      </w:r>
      <w:r w:rsidR="005A405B">
        <w:rPr>
          <w:i/>
        </w:rPr>
        <w:t>survey “</w:t>
      </w:r>
      <w:r w:rsidRPr="00B539D7">
        <w:rPr>
          <w:i/>
        </w:rPr>
        <w:t>Numbering of applications and priority applications – former practices</w:t>
      </w:r>
      <w:r w:rsidR="005A405B">
        <w:rPr>
          <w:i/>
        </w:rPr>
        <w:t xml:space="preserve">” </w:t>
      </w:r>
      <w:r w:rsidR="00097C55">
        <w:rPr>
          <w:i/>
        </w:rPr>
        <w:t>as new</w:t>
      </w:r>
      <w:r>
        <w:rPr>
          <w:i/>
        </w:rPr>
        <w:t xml:space="preserve"> Part 7.2.7</w:t>
      </w:r>
      <w:r w:rsidR="00097C55">
        <w:rPr>
          <w:i/>
        </w:rPr>
        <w:t xml:space="preserve"> of the WIPO Handbook</w:t>
      </w:r>
      <w:r w:rsidR="00DE4723">
        <w:rPr>
          <w:i/>
        </w:rPr>
        <w:t xml:space="preserve">, as referred to in </w:t>
      </w:r>
      <w:r w:rsidR="00096871">
        <w:rPr>
          <w:i/>
        </w:rPr>
        <w:t>paragraph 7 above</w:t>
      </w:r>
      <w:r w:rsidR="00112E5F">
        <w:rPr>
          <w:i/>
        </w:rPr>
        <w:t>;</w:t>
      </w:r>
    </w:p>
    <w:p w:rsidR="00AB0FBD" w:rsidRDefault="00AB0FBD">
      <w:pPr>
        <w:rPr>
          <w:i/>
        </w:rPr>
      </w:pPr>
      <w:r>
        <w:rPr>
          <w:i/>
        </w:rPr>
        <w:br w:type="page"/>
      </w:r>
    </w:p>
    <w:p w:rsidR="00DE4723" w:rsidRPr="00DE4723" w:rsidRDefault="00DE4723" w:rsidP="00AB0FBD">
      <w:pPr>
        <w:pStyle w:val="ONUME"/>
        <w:numPr>
          <w:ilvl w:val="0"/>
          <w:numId w:val="0"/>
        </w:numPr>
        <w:ind w:left="5529" w:firstLine="567"/>
        <w:rPr>
          <w:i/>
        </w:rPr>
      </w:pPr>
      <w:r>
        <w:rPr>
          <w:i/>
        </w:rPr>
        <w:lastRenderedPageBreak/>
        <w:t>(d</w:t>
      </w:r>
      <w:r w:rsidR="00CD5801" w:rsidRPr="00DE4723">
        <w:rPr>
          <w:i/>
        </w:rPr>
        <w:t>)</w:t>
      </w:r>
      <w:r w:rsidR="00166BD3">
        <w:rPr>
          <w:i/>
        </w:rPr>
        <w:tab/>
      </w:r>
      <w:r w:rsidRPr="00DE4723">
        <w:rPr>
          <w:i/>
        </w:rPr>
        <w:t xml:space="preserve">consider Task No. 30 as completed and </w:t>
      </w:r>
      <w:r w:rsidR="002D0F4D">
        <w:rPr>
          <w:i/>
        </w:rPr>
        <w:t xml:space="preserve">decide </w:t>
      </w:r>
      <w:r w:rsidR="00166BD3">
        <w:rPr>
          <w:i/>
        </w:rPr>
        <w:t xml:space="preserve">on </w:t>
      </w:r>
      <w:r w:rsidR="002D0F4D">
        <w:rPr>
          <w:i/>
        </w:rPr>
        <w:t>whether it should be removed</w:t>
      </w:r>
      <w:r w:rsidRPr="00DE4723">
        <w:rPr>
          <w:i/>
        </w:rPr>
        <w:t xml:space="preserve"> from the Task List of the CWS, as referred to in paragraph </w:t>
      </w:r>
      <w:r w:rsidR="006E6D41">
        <w:rPr>
          <w:i/>
        </w:rPr>
        <w:t>8</w:t>
      </w:r>
      <w:r w:rsidRPr="00DE4723">
        <w:rPr>
          <w:i/>
        </w:rPr>
        <w:t xml:space="preserve"> above;</w:t>
      </w:r>
      <w:r w:rsidR="00096871" w:rsidRPr="00096871">
        <w:rPr>
          <w:i/>
        </w:rPr>
        <w:t xml:space="preserve"> </w:t>
      </w:r>
      <w:r w:rsidR="00112E5F">
        <w:rPr>
          <w:i/>
        </w:rPr>
        <w:t xml:space="preserve"> </w:t>
      </w:r>
      <w:r w:rsidR="00096871" w:rsidRPr="00886478">
        <w:rPr>
          <w:i/>
        </w:rPr>
        <w:t>and</w:t>
      </w:r>
    </w:p>
    <w:p w:rsidR="00CD5801" w:rsidRPr="00886478" w:rsidRDefault="00166BD3" w:rsidP="00AB0FBD">
      <w:pPr>
        <w:pStyle w:val="ONUME"/>
        <w:numPr>
          <w:ilvl w:val="0"/>
          <w:numId w:val="0"/>
        </w:numPr>
        <w:spacing w:after="0"/>
        <w:ind w:left="5529" w:firstLine="567"/>
        <w:rPr>
          <w:i/>
        </w:rPr>
      </w:pPr>
      <w:r>
        <w:rPr>
          <w:i/>
        </w:rPr>
        <w:t>(e)</w:t>
      </w:r>
      <w:r>
        <w:rPr>
          <w:i/>
        </w:rPr>
        <w:tab/>
      </w:r>
      <w:proofErr w:type="gramStart"/>
      <w:r w:rsidR="008345A2">
        <w:rPr>
          <w:i/>
        </w:rPr>
        <w:t>decide</w:t>
      </w:r>
      <w:proofErr w:type="gramEnd"/>
      <w:r w:rsidR="008345A2">
        <w:rPr>
          <w:i/>
        </w:rPr>
        <w:t xml:space="preserve"> on the </w:t>
      </w:r>
      <w:r w:rsidR="00DE4723" w:rsidRPr="00DE4723">
        <w:rPr>
          <w:i/>
        </w:rPr>
        <w:t>discontinu</w:t>
      </w:r>
      <w:r w:rsidR="008345A2">
        <w:rPr>
          <w:i/>
        </w:rPr>
        <w:t xml:space="preserve">ation of </w:t>
      </w:r>
      <w:r w:rsidR="00DE4723" w:rsidRPr="00DE4723">
        <w:rPr>
          <w:i/>
        </w:rPr>
        <w:t xml:space="preserve">the </w:t>
      </w:r>
      <w:r w:rsidR="00DE4723">
        <w:rPr>
          <w:i/>
        </w:rPr>
        <w:t xml:space="preserve">ST 10/C </w:t>
      </w:r>
      <w:r w:rsidR="00DE4723" w:rsidRPr="00DE4723">
        <w:rPr>
          <w:i/>
        </w:rPr>
        <w:t>Task Force, as referred to</w:t>
      </w:r>
      <w:r w:rsidR="00DE4723">
        <w:rPr>
          <w:i/>
        </w:rPr>
        <w:t xml:space="preserve"> </w:t>
      </w:r>
      <w:r w:rsidR="00DE4723" w:rsidRPr="00DE4723">
        <w:rPr>
          <w:i/>
        </w:rPr>
        <w:t xml:space="preserve">in paragraph </w:t>
      </w:r>
      <w:r w:rsidR="006E6D41">
        <w:rPr>
          <w:i/>
        </w:rPr>
        <w:t>8</w:t>
      </w:r>
      <w:r w:rsidR="00DE4723" w:rsidRPr="00DE4723">
        <w:rPr>
          <w:i/>
        </w:rPr>
        <w:t xml:space="preserve"> above</w:t>
      </w:r>
      <w:r w:rsidR="00CD5801" w:rsidRPr="00886478">
        <w:rPr>
          <w:i/>
        </w:rPr>
        <w:t>.</w:t>
      </w:r>
    </w:p>
    <w:p w:rsidR="00112E5F" w:rsidRDefault="00112E5F" w:rsidP="00AB0FBD">
      <w:pPr>
        <w:pStyle w:val="ONUME"/>
        <w:numPr>
          <w:ilvl w:val="0"/>
          <w:numId w:val="0"/>
        </w:numPr>
        <w:spacing w:after="0"/>
        <w:ind w:left="5529"/>
      </w:pPr>
    </w:p>
    <w:p w:rsidR="00112E5F" w:rsidRDefault="00112E5F" w:rsidP="00AB0FBD">
      <w:pPr>
        <w:pStyle w:val="ONUME"/>
        <w:numPr>
          <w:ilvl w:val="0"/>
          <w:numId w:val="0"/>
        </w:numPr>
        <w:spacing w:after="0"/>
        <w:ind w:left="5529"/>
      </w:pPr>
    </w:p>
    <w:p w:rsidR="00CD5801" w:rsidRPr="00E131EE" w:rsidRDefault="00CD5801" w:rsidP="00AB0FBD">
      <w:pPr>
        <w:pStyle w:val="ONUME"/>
        <w:numPr>
          <w:ilvl w:val="0"/>
          <w:numId w:val="0"/>
        </w:numPr>
        <w:spacing w:after="0"/>
        <w:ind w:left="5529"/>
      </w:pPr>
      <w:r>
        <w:t>[Annex follows]</w:t>
      </w:r>
    </w:p>
    <w:sectPr w:rsidR="00CD5801" w:rsidRPr="00E131EE" w:rsidSect="00112E5F">
      <w:headerReference w:type="default" r:id="rId10"/>
      <w:pgSz w:w="11907" w:h="16840" w:code="9"/>
      <w:pgMar w:top="685" w:right="1417" w:bottom="1417" w:left="1417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297" w:rsidRDefault="00883297" w:rsidP="003C0F7A">
      <w:r>
        <w:separator/>
      </w:r>
    </w:p>
  </w:endnote>
  <w:endnote w:type="continuationSeparator" w:id="0">
    <w:p w:rsidR="00883297" w:rsidRDefault="00883297" w:rsidP="003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297" w:rsidRDefault="00883297" w:rsidP="003C0F7A">
      <w:r>
        <w:separator/>
      </w:r>
    </w:p>
  </w:footnote>
  <w:footnote w:type="continuationSeparator" w:id="0">
    <w:p w:rsidR="00883297" w:rsidRDefault="00883297" w:rsidP="003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94" w:rsidRDefault="00544F94" w:rsidP="00544F94">
    <w:pPr>
      <w:jc w:val="right"/>
    </w:pPr>
    <w:r>
      <w:t>CWS/5/12</w:t>
    </w:r>
  </w:p>
  <w:p w:rsidR="00544F94" w:rsidRDefault="00544F94" w:rsidP="00544F9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B0FBD">
      <w:rPr>
        <w:noProof/>
      </w:rPr>
      <w:t>2</w:t>
    </w:r>
    <w:r>
      <w:fldChar w:fldCharType="end"/>
    </w:r>
  </w:p>
  <w:p w:rsidR="00544F94" w:rsidRDefault="00544F94" w:rsidP="00544F94">
    <w:pPr>
      <w:jc w:val="right"/>
    </w:pPr>
  </w:p>
  <w:p w:rsidR="00544F94" w:rsidRDefault="00544F94" w:rsidP="00544F94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CF76DD"/>
    <w:multiLevelType w:val="hybridMultilevel"/>
    <w:tmpl w:val="B6AEB816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0B"/>
    <w:rsid w:val="00015C6D"/>
    <w:rsid w:val="00040216"/>
    <w:rsid w:val="00062267"/>
    <w:rsid w:val="00076248"/>
    <w:rsid w:val="00096472"/>
    <w:rsid w:val="00096871"/>
    <w:rsid w:val="00097C55"/>
    <w:rsid w:val="000A11C9"/>
    <w:rsid w:val="000C57BF"/>
    <w:rsid w:val="000C5E91"/>
    <w:rsid w:val="000D577F"/>
    <w:rsid w:val="000F5E56"/>
    <w:rsid w:val="00111639"/>
    <w:rsid w:val="00112E5F"/>
    <w:rsid w:val="00141702"/>
    <w:rsid w:val="00166BD3"/>
    <w:rsid w:val="001727C4"/>
    <w:rsid w:val="001C16AB"/>
    <w:rsid w:val="002D0F4D"/>
    <w:rsid w:val="002E0B1A"/>
    <w:rsid w:val="003003C5"/>
    <w:rsid w:val="003018CE"/>
    <w:rsid w:val="0033456F"/>
    <w:rsid w:val="00341DD0"/>
    <w:rsid w:val="00364370"/>
    <w:rsid w:val="00365FD6"/>
    <w:rsid w:val="00383FFD"/>
    <w:rsid w:val="00385901"/>
    <w:rsid w:val="003C0F7A"/>
    <w:rsid w:val="003C73CB"/>
    <w:rsid w:val="003F5966"/>
    <w:rsid w:val="00412870"/>
    <w:rsid w:val="0042294A"/>
    <w:rsid w:val="00431118"/>
    <w:rsid w:val="00481A6D"/>
    <w:rsid w:val="004A289D"/>
    <w:rsid w:val="004D413A"/>
    <w:rsid w:val="004E251F"/>
    <w:rsid w:val="004F65B8"/>
    <w:rsid w:val="0054177D"/>
    <w:rsid w:val="00544F94"/>
    <w:rsid w:val="00576C26"/>
    <w:rsid w:val="00593B78"/>
    <w:rsid w:val="005A405B"/>
    <w:rsid w:val="005B6BA9"/>
    <w:rsid w:val="005B7FE9"/>
    <w:rsid w:val="006B0C07"/>
    <w:rsid w:val="006E6D41"/>
    <w:rsid w:val="00713B1C"/>
    <w:rsid w:val="00714444"/>
    <w:rsid w:val="00756531"/>
    <w:rsid w:val="007B240C"/>
    <w:rsid w:val="007D53C7"/>
    <w:rsid w:val="007E5E98"/>
    <w:rsid w:val="007F45F5"/>
    <w:rsid w:val="00804DB7"/>
    <w:rsid w:val="008345A2"/>
    <w:rsid w:val="008522AC"/>
    <w:rsid w:val="00874AB4"/>
    <w:rsid w:val="00876BDF"/>
    <w:rsid w:val="00880B17"/>
    <w:rsid w:val="00883297"/>
    <w:rsid w:val="00886478"/>
    <w:rsid w:val="00886778"/>
    <w:rsid w:val="008A0437"/>
    <w:rsid w:val="0091519E"/>
    <w:rsid w:val="00953309"/>
    <w:rsid w:val="00960820"/>
    <w:rsid w:val="0097335B"/>
    <w:rsid w:val="009753D8"/>
    <w:rsid w:val="00987385"/>
    <w:rsid w:val="009A4C07"/>
    <w:rsid w:val="00A000A9"/>
    <w:rsid w:val="00A06543"/>
    <w:rsid w:val="00A12A27"/>
    <w:rsid w:val="00A7461E"/>
    <w:rsid w:val="00A76F03"/>
    <w:rsid w:val="00AB0FBD"/>
    <w:rsid w:val="00AB1EB8"/>
    <w:rsid w:val="00AB4BD4"/>
    <w:rsid w:val="00AC2AFE"/>
    <w:rsid w:val="00AC6B4E"/>
    <w:rsid w:val="00AE4BB2"/>
    <w:rsid w:val="00B14B10"/>
    <w:rsid w:val="00B21B0F"/>
    <w:rsid w:val="00B31298"/>
    <w:rsid w:val="00B360E2"/>
    <w:rsid w:val="00B47E37"/>
    <w:rsid w:val="00B539D7"/>
    <w:rsid w:val="00B657BE"/>
    <w:rsid w:val="00B817B3"/>
    <w:rsid w:val="00B853CD"/>
    <w:rsid w:val="00BA64C9"/>
    <w:rsid w:val="00BA654A"/>
    <w:rsid w:val="00BB0939"/>
    <w:rsid w:val="00BB4745"/>
    <w:rsid w:val="00BC1850"/>
    <w:rsid w:val="00BF7FA7"/>
    <w:rsid w:val="00C22B23"/>
    <w:rsid w:val="00C419B8"/>
    <w:rsid w:val="00C554EC"/>
    <w:rsid w:val="00C819AB"/>
    <w:rsid w:val="00CA0984"/>
    <w:rsid w:val="00CD5801"/>
    <w:rsid w:val="00CE54CC"/>
    <w:rsid w:val="00D66D58"/>
    <w:rsid w:val="00DB6703"/>
    <w:rsid w:val="00DE4723"/>
    <w:rsid w:val="00E131EE"/>
    <w:rsid w:val="00E23352"/>
    <w:rsid w:val="00E561D4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en/pdf/07-02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601</Words>
  <Characters>3181</Characters>
  <Application>Microsoft Office Word</Application>
  <DocSecurity>0</DocSecurity>
  <Lines>102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CWS/5/12 (in English)</vt:lpstr>
    </vt:vector>
  </TitlesOfParts>
  <Company>World Intellectual Property Organization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CWS/5/12 (in English)</dc:title>
  <dc:subject>Report on the Survey on Application and Priority Application Numbering Systems used by Industrial Property Offices in the past</dc:subject>
  <dc:creator>WIPO</dc:creator>
  <cp:keywords>CWS</cp:keywords>
  <cp:lastModifiedBy>ZAGO Bétina</cp:lastModifiedBy>
  <cp:revision>15</cp:revision>
  <cp:lastPrinted>2017-04-11T12:45:00Z</cp:lastPrinted>
  <dcterms:created xsi:type="dcterms:W3CDTF">2017-04-11T09:26:00Z</dcterms:created>
  <dcterms:modified xsi:type="dcterms:W3CDTF">2017-05-11T14:06:00Z</dcterms:modified>
</cp:coreProperties>
</file>