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F206F" w14:textId="77777777" w:rsidR="008B2CC1" w:rsidRPr="00F043DE" w:rsidRDefault="00B92F1F" w:rsidP="00846CF6">
      <w:pPr>
        <w:pBdr>
          <w:bottom w:val="single" w:sz="4" w:space="11" w:color="auto"/>
        </w:pBdr>
        <w:spacing w:after="120"/>
        <w:jc w:val="right"/>
        <w:rPr>
          <w:b/>
          <w:sz w:val="32"/>
          <w:szCs w:val="40"/>
        </w:rPr>
      </w:pPr>
      <w:r>
        <w:rPr>
          <w:noProof/>
          <w:sz w:val="28"/>
          <w:szCs w:val="28"/>
        </w:rPr>
        <w:drawing>
          <wp:inline distT="0" distB="0" distL="0" distR="0" wp14:anchorId="6EE80925" wp14:editId="56B3BB83">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71C351C" w14:textId="77777777" w:rsidR="008B2CC1" w:rsidRPr="002326AB" w:rsidRDefault="00846CF6" w:rsidP="00EB2F76">
      <w:pPr>
        <w:jc w:val="right"/>
        <w:rPr>
          <w:rFonts w:ascii="Arial Black" w:hAnsi="Arial Black"/>
          <w:caps/>
          <w:sz w:val="15"/>
          <w:szCs w:val="15"/>
        </w:rPr>
      </w:pPr>
      <w:r>
        <w:rPr>
          <w:rFonts w:ascii="Arial Black" w:hAnsi="Arial Black"/>
          <w:caps/>
          <w:sz w:val="15"/>
          <w:szCs w:val="15"/>
        </w:rPr>
        <w:t>CWs/9/</w:t>
      </w:r>
      <w:bookmarkStart w:id="0" w:name="Code"/>
      <w:bookmarkEnd w:id="0"/>
      <w:r w:rsidR="00B50108">
        <w:rPr>
          <w:rFonts w:ascii="Arial Black" w:hAnsi="Arial Black"/>
          <w:caps/>
          <w:sz w:val="15"/>
          <w:szCs w:val="15"/>
        </w:rPr>
        <w:t>2</w:t>
      </w:r>
    </w:p>
    <w:p w14:paraId="102E7DDE"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C80BFB">
        <w:rPr>
          <w:rFonts w:ascii="Arial Black" w:hAnsi="Arial Black"/>
          <w:caps/>
          <w:sz w:val="15"/>
          <w:szCs w:val="15"/>
        </w:rPr>
        <w:t>english</w:t>
      </w:r>
    </w:p>
    <w:bookmarkEnd w:id="1"/>
    <w:p w14:paraId="629F6984" w14:textId="2354E08C"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r w:rsidRPr="002D47FF">
        <w:rPr>
          <w:rFonts w:ascii="Arial Black" w:hAnsi="Arial Black"/>
          <w:caps/>
          <w:sz w:val="15"/>
          <w:szCs w:val="15"/>
        </w:rPr>
        <w:t xml:space="preserve">: </w:t>
      </w:r>
      <w:bookmarkStart w:id="2" w:name="Date"/>
      <w:r w:rsidR="005A72B3" w:rsidRPr="004834BF">
        <w:rPr>
          <w:rFonts w:ascii="Arial Black" w:hAnsi="Arial Black"/>
          <w:caps/>
          <w:sz w:val="15"/>
          <w:szCs w:val="15"/>
        </w:rPr>
        <w:t>october</w:t>
      </w:r>
      <w:r w:rsidR="00B50108" w:rsidRPr="004834BF">
        <w:rPr>
          <w:rFonts w:ascii="Arial Black" w:hAnsi="Arial Black"/>
          <w:caps/>
          <w:sz w:val="15"/>
          <w:szCs w:val="15"/>
        </w:rPr>
        <w:t xml:space="preserve"> </w:t>
      </w:r>
      <w:r w:rsidR="004834BF" w:rsidRPr="004834BF">
        <w:rPr>
          <w:rFonts w:ascii="Arial Black" w:hAnsi="Arial Black"/>
          <w:caps/>
          <w:sz w:val="15"/>
          <w:szCs w:val="15"/>
        </w:rPr>
        <w:t>6</w:t>
      </w:r>
      <w:r w:rsidR="00C80BFB" w:rsidRPr="004834BF">
        <w:rPr>
          <w:rFonts w:ascii="Arial Black" w:hAnsi="Arial Black"/>
          <w:caps/>
          <w:sz w:val="15"/>
          <w:szCs w:val="15"/>
        </w:rPr>
        <w:t>, 2021</w:t>
      </w:r>
    </w:p>
    <w:bookmarkEnd w:id="2"/>
    <w:p w14:paraId="189FCBD1" w14:textId="77777777" w:rsidR="008B2CC1" w:rsidRPr="005A72B3" w:rsidRDefault="00E45755" w:rsidP="00720EFD">
      <w:pPr>
        <w:pStyle w:val="Heading1"/>
        <w:spacing w:before="0" w:after="480"/>
        <w:rPr>
          <w:sz w:val="36"/>
          <w:szCs w:val="28"/>
        </w:rPr>
      </w:pPr>
      <w:r w:rsidRPr="005A72B3">
        <w:rPr>
          <w:caps w:val="0"/>
          <w:sz w:val="28"/>
        </w:rPr>
        <w:t xml:space="preserve">Committee on WIPO Standards </w:t>
      </w:r>
      <w:r w:rsidRPr="005A72B3">
        <w:rPr>
          <w:sz w:val="28"/>
        </w:rPr>
        <w:t>(CWS)</w:t>
      </w:r>
    </w:p>
    <w:p w14:paraId="455AC2C1" w14:textId="77777777" w:rsidR="00E45755" w:rsidRPr="00846CF6" w:rsidRDefault="00E45755" w:rsidP="00E45755">
      <w:pPr>
        <w:outlineLvl w:val="1"/>
        <w:rPr>
          <w:b/>
          <w:sz w:val="24"/>
          <w:szCs w:val="24"/>
        </w:rPr>
      </w:pPr>
      <w:r w:rsidRPr="00846CF6">
        <w:rPr>
          <w:b/>
          <w:sz w:val="24"/>
          <w:szCs w:val="24"/>
        </w:rPr>
        <w:t>Ninth Session</w:t>
      </w:r>
    </w:p>
    <w:p w14:paraId="45EE37EF" w14:textId="77777777" w:rsidR="008B2CC1" w:rsidRPr="003845C1" w:rsidRDefault="00846CF6" w:rsidP="00F9165B">
      <w:pPr>
        <w:spacing w:after="720"/>
        <w:outlineLvl w:val="1"/>
        <w:rPr>
          <w:b/>
          <w:sz w:val="24"/>
          <w:szCs w:val="24"/>
        </w:rPr>
      </w:pPr>
      <w:r w:rsidRPr="00846CF6">
        <w:rPr>
          <w:b/>
          <w:sz w:val="24"/>
          <w:szCs w:val="24"/>
        </w:rPr>
        <w:t>Geneva, November 1 to 5, 2021</w:t>
      </w:r>
    </w:p>
    <w:p w14:paraId="5EE4B326" w14:textId="77777777" w:rsidR="008B2CC1" w:rsidRPr="003845C1" w:rsidRDefault="00C80BFB" w:rsidP="00DD7B7F">
      <w:pPr>
        <w:spacing w:after="360"/>
        <w:outlineLvl w:val="0"/>
        <w:rPr>
          <w:caps/>
          <w:sz w:val="24"/>
        </w:rPr>
      </w:pPr>
      <w:bookmarkStart w:id="3" w:name="TitleOfDoc"/>
      <w:r>
        <w:rPr>
          <w:caps/>
          <w:sz w:val="24"/>
        </w:rPr>
        <w:t xml:space="preserve">Publication of the survey results on the priority </w:t>
      </w:r>
      <w:r w:rsidR="00492A08">
        <w:rPr>
          <w:caps/>
          <w:sz w:val="24"/>
        </w:rPr>
        <w:t>of</w:t>
      </w:r>
      <w:r>
        <w:rPr>
          <w:caps/>
          <w:sz w:val="24"/>
        </w:rPr>
        <w:t xml:space="preserve"> 40 Recommendations on ICT Strategies</w:t>
      </w:r>
    </w:p>
    <w:p w14:paraId="06B9A528" w14:textId="17F11833" w:rsidR="002928D3" w:rsidRPr="00F9165B" w:rsidRDefault="00C80BFB" w:rsidP="001D4107">
      <w:pPr>
        <w:spacing w:after="1040"/>
        <w:rPr>
          <w:i/>
        </w:rPr>
      </w:pPr>
      <w:bookmarkStart w:id="4" w:name="Prepared"/>
      <w:bookmarkEnd w:id="3"/>
      <w:bookmarkEnd w:id="4"/>
      <w:r>
        <w:rPr>
          <w:i/>
        </w:rPr>
        <w:t>Document prepared by the International Bureau</w:t>
      </w:r>
    </w:p>
    <w:p w14:paraId="1B0195AC" w14:textId="77777777" w:rsidR="00C80BFB" w:rsidRDefault="00C80BFB" w:rsidP="00C80BFB">
      <w:pPr>
        <w:pStyle w:val="Heading2"/>
        <w:spacing w:before="0"/>
        <w:rPr>
          <w:rFonts w:eastAsia="Malgun Gothic"/>
          <w:caps w:val="0"/>
          <w:szCs w:val="22"/>
        </w:rPr>
      </w:pPr>
      <w:r>
        <w:rPr>
          <w:rFonts w:eastAsia="Malgun Gothic"/>
          <w:caps w:val="0"/>
          <w:szCs w:val="22"/>
        </w:rPr>
        <w:t>BACKGROUND</w:t>
      </w:r>
    </w:p>
    <w:p w14:paraId="26D7AC6C" w14:textId="18E638F5" w:rsidR="00E160B0" w:rsidRDefault="00C80BFB" w:rsidP="00E160B0">
      <w:pPr>
        <w:pStyle w:val="ONUMFS"/>
        <w:numPr>
          <w:ilvl w:val="0"/>
          <w:numId w:val="0"/>
        </w:numPr>
        <w:rPr>
          <w:szCs w:val="22"/>
        </w:rPr>
      </w:pPr>
      <w:r>
        <w:rPr>
          <w:lang w:eastAsia="en-US"/>
        </w:rPr>
        <w:fldChar w:fldCharType="begin"/>
      </w:r>
      <w:r>
        <w:rPr>
          <w:lang w:eastAsia="en-US"/>
        </w:rPr>
        <w:instrText xml:space="preserve"> AUTONUM  </w:instrText>
      </w:r>
      <w:r>
        <w:rPr>
          <w:lang w:eastAsia="en-US"/>
        </w:rPr>
        <w:fldChar w:fldCharType="end"/>
      </w:r>
      <w:r>
        <w:rPr>
          <w:lang w:eastAsia="en-US"/>
        </w:rPr>
        <w:tab/>
      </w:r>
      <w:r w:rsidR="00E160B0">
        <w:t xml:space="preserve">At its sixth session in October 2019, the Committee on WIPO Standards (CWS) </w:t>
      </w:r>
      <w:r w:rsidR="00E160B0" w:rsidRPr="00287694">
        <w:rPr>
          <w:szCs w:val="22"/>
        </w:rPr>
        <w:t xml:space="preserve">noted the </w:t>
      </w:r>
      <w:r w:rsidR="00E160B0">
        <w:rPr>
          <w:szCs w:val="22"/>
        </w:rPr>
        <w:t>40 R</w:t>
      </w:r>
      <w:r w:rsidR="00E160B0" w:rsidRPr="00287694">
        <w:rPr>
          <w:szCs w:val="22"/>
        </w:rPr>
        <w:t xml:space="preserve">ecommendations prepared by the Meeting on ICT Strategy and Artificial Intelligence, which </w:t>
      </w:r>
      <w:r w:rsidR="00E160B0">
        <w:rPr>
          <w:szCs w:val="22"/>
        </w:rPr>
        <w:t xml:space="preserve">the International Bureau </w:t>
      </w:r>
      <w:r w:rsidR="00E160B0" w:rsidRPr="00287694">
        <w:rPr>
          <w:szCs w:val="22"/>
        </w:rPr>
        <w:t xml:space="preserve">convened for the exchange of views and experiences in ICT and business management for effective </w:t>
      </w:r>
      <w:r w:rsidR="00E160B0">
        <w:t>Intellectual Property Office (</w:t>
      </w:r>
      <w:r w:rsidR="00E160B0" w:rsidRPr="00287694">
        <w:rPr>
          <w:szCs w:val="22"/>
        </w:rPr>
        <w:t>IPO</w:t>
      </w:r>
      <w:r w:rsidR="00E160B0">
        <w:rPr>
          <w:szCs w:val="22"/>
        </w:rPr>
        <w:t>)</w:t>
      </w:r>
      <w:r w:rsidR="00E160B0" w:rsidRPr="00287694">
        <w:rPr>
          <w:szCs w:val="22"/>
        </w:rPr>
        <w:t xml:space="preserve"> administration. </w:t>
      </w:r>
      <w:r w:rsidR="00E160B0">
        <w:rPr>
          <w:szCs w:val="22"/>
        </w:rPr>
        <w:t xml:space="preserve"> </w:t>
      </w:r>
      <w:r w:rsidR="00E160B0" w:rsidRPr="004C0888">
        <w:t xml:space="preserve">The CWS considered </w:t>
      </w:r>
      <w:r w:rsidR="00E160B0">
        <w:t xml:space="preserve">the analysis of </w:t>
      </w:r>
      <w:r w:rsidR="00E160B0" w:rsidRPr="004C0888">
        <w:t xml:space="preserve">40 Recommendations </w:t>
      </w:r>
      <w:r w:rsidR="00E160B0">
        <w:t xml:space="preserve">by the Secretariat </w:t>
      </w:r>
      <w:r w:rsidR="00E160B0" w:rsidRPr="004C0888">
        <w:t xml:space="preserve">and their relevancy to </w:t>
      </w:r>
      <w:r w:rsidR="00155B72">
        <w:t xml:space="preserve">the </w:t>
      </w:r>
      <w:r w:rsidR="00E160B0" w:rsidRPr="004C0888">
        <w:t>activities</w:t>
      </w:r>
      <w:r w:rsidR="00155B72">
        <w:t xml:space="preserve"> of the CWS</w:t>
      </w:r>
      <w:r w:rsidR="00E160B0" w:rsidRPr="004C0888">
        <w:t xml:space="preserve"> </w:t>
      </w:r>
      <w:r w:rsidR="003B3DEC">
        <w:t xml:space="preserve">categorized into three Groups </w:t>
      </w:r>
      <w:r w:rsidR="00E160B0" w:rsidRPr="004C0888">
        <w:t xml:space="preserve">indicated in the </w:t>
      </w:r>
      <w:hyperlink r:id="rId9" w:history="1">
        <w:r w:rsidR="00E160B0" w:rsidRPr="003459BC">
          <w:rPr>
            <w:rStyle w:val="Hyperlink"/>
          </w:rPr>
          <w:t>Annex of document CWS/6/3</w:t>
        </w:r>
      </w:hyperlink>
      <w:r w:rsidR="00E160B0">
        <w:t>.  (See paragraphs 18 to 19 of document CWS/6/34.)</w:t>
      </w:r>
    </w:p>
    <w:p w14:paraId="3AFE62E8" w14:textId="77777777" w:rsidR="00E160B0" w:rsidRDefault="00E160B0" w:rsidP="00E160B0">
      <w:pPr>
        <w:spacing w:after="220"/>
        <w:rPr>
          <w:lang w:eastAsia="en-US"/>
        </w:rPr>
      </w:pPr>
      <w:r>
        <w:fldChar w:fldCharType="begin"/>
      </w:r>
      <w:r>
        <w:instrText xml:space="preserve"> AUTONUM  </w:instrText>
      </w:r>
      <w:r>
        <w:fldChar w:fldCharType="end"/>
      </w:r>
      <w:r>
        <w:tab/>
        <w:t xml:space="preserve">At its sixth session, the CWS created the new Task No. 58 and established the </w:t>
      </w:r>
      <w:r w:rsidRPr="00323DE5">
        <w:t>ICT Strategy for Standards</w:t>
      </w:r>
      <w:r>
        <w:t xml:space="preserve"> Task Force (hereinafter referred to as “ICT Strategy Task Force” or “Task Force”) to work on Task No. 58 and designated the International Bureau as the Task Force leader.  The CWS requested the International Bureau to issue a circular inviting IPOs to nominate business managers or ICT policy makers for the new Task Force and for volunteers to serve as co-leader with the International Bureau.  (See paragraphs 17 to 24 of document CWS/6/34.)</w:t>
      </w:r>
    </w:p>
    <w:p w14:paraId="4C25368C" w14:textId="4E14637D" w:rsidR="003B3DEC" w:rsidRDefault="00E160B0" w:rsidP="009865DF">
      <w:pPr>
        <w:pStyle w:val="ONUMFS"/>
        <w:numPr>
          <w:ilvl w:val="0"/>
          <w:numId w:val="0"/>
        </w:numPr>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t xml:space="preserve">At its eighth session, the CWS noted </w:t>
      </w:r>
      <w:r w:rsidR="00704783">
        <w:rPr>
          <w:lang w:eastAsia="en-US"/>
        </w:rPr>
        <w:t>the progress report of the ICT Strategy Task Force, which contain</w:t>
      </w:r>
      <w:r w:rsidR="009865DF">
        <w:rPr>
          <w:lang w:eastAsia="en-US"/>
        </w:rPr>
        <w:t>s</w:t>
      </w:r>
      <w:r w:rsidR="00704783">
        <w:rPr>
          <w:lang w:eastAsia="en-US"/>
        </w:rPr>
        <w:t xml:space="preserve"> the priority of 40 Recommendations proposed by the Task Force</w:t>
      </w:r>
      <w:r w:rsidR="009865DF">
        <w:rPr>
          <w:lang w:eastAsia="en-US"/>
        </w:rPr>
        <w:t>,</w:t>
      </w:r>
      <w:r w:rsidR="00704783">
        <w:rPr>
          <w:lang w:eastAsia="en-US"/>
        </w:rPr>
        <w:t xml:space="preserve"> and </w:t>
      </w:r>
      <w:r w:rsidR="003B3DEC">
        <w:t xml:space="preserve">the reallocation of the following Recommendations: R20, R33 and R35 to Group 1 from Group 2, </w:t>
      </w:r>
      <w:r w:rsidR="00355ED8">
        <w:t xml:space="preserve">with </w:t>
      </w:r>
      <w:r w:rsidR="003B3DEC">
        <w:t xml:space="preserve">the following recommendations still </w:t>
      </w:r>
      <w:r w:rsidR="009865DF">
        <w:t>f</w:t>
      </w:r>
      <w:r w:rsidR="008E4337">
        <w:t>alling</w:t>
      </w:r>
      <w:r w:rsidR="003B3DEC">
        <w:t xml:space="preserve"> into Group 3 (Recommendations seem to be not relevant to the CWS activity now and in the near future): R03, R07, R08, R24, R25, R29, R30, R31, R34 and 40.</w:t>
      </w:r>
      <w:r w:rsidR="005E45A3">
        <w:t xml:space="preserve"> </w:t>
      </w:r>
      <w:r w:rsidR="009865DF">
        <w:t xml:space="preserve"> </w:t>
      </w:r>
      <w:r w:rsidR="003B3DEC">
        <w:rPr>
          <w:lang w:eastAsia="en-US"/>
        </w:rPr>
        <w:t>(S</w:t>
      </w:r>
      <w:r w:rsidR="005E45A3">
        <w:rPr>
          <w:lang w:eastAsia="en-US"/>
        </w:rPr>
        <w:t xml:space="preserve">ee </w:t>
      </w:r>
      <w:r w:rsidR="00296701">
        <w:rPr>
          <w:lang w:eastAsia="en-US"/>
        </w:rPr>
        <w:t xml:space="preserve">paragraph 4 of </w:t>
      </w:r>
      <w:r w:rsidR="005E45A3">
        <w:rPr>
          <w:lang w:eastAsia="en-US"/>
        </w:rPr>
        <w:t xml:space="preserve">document </w:t>
      </w:r>
      <w:r w:rsidR="00206410">
        <w:rPr>
          <w:lang w:eastAsia="en-US"/>
        </w:rPr>
        <w:t>CWS</w:t>
      </w:r>
      <w:r w:rsidR="005E45A3">
        <w:rPr>
          <w:lang w:eastAsia="en-US"/>
        </w:rPr>
        <w:t>/8/13</w:t>
      </w:r>
      <w:r w:rsidR="003B3DEC">
        <w:rPr>
          <w:lang w:eastAsia="en-US"/>
        </w:rPr>
        <w:t>.</w:t>
      </w:r>
      <w:r w:rsidR="005E45A3">
        <w:rPr>
          <w:lang w:eastAsia="en-US"/>
        </w:rPr>
        <w:t>)</w:t>
      </w:r>
      <w:r w:rsidR="00704783">
        <w:rPr>
          <w:lang w:eastAsia="en-US"/>
        </w:rPr>
        <w:t xml:space="preserve"> </w:t>
      </w:r>
      <w:r w:rsidR="00B95E28">
        <w:rPr>
          <w:lang w:eastAsia="en-US"/>
        </w:rPr>
        <w:t xml:space="preserve"> </w:t>
      </w:r>
    </w:p>
    <w:p w14:paraId="4AAA71A6" w14:textId="1563928F" w:rsidR="00206410" w:rsidRDefault="003B3DEC" w:rsidP="00CA5243">
      <w:pPr>
        <w:spacing w:after="220"/>
      </w:pPr>
      <w:r>
        <w:rPr>
          <w:lang w:eastAsia="en-US"/>
        </w:rPr>
        <w:lastRenderedPageBreak/>
        <w:fldChar w:fldCharType="begin"/>
      </w:r>
      <w:r>
        <w:rPr>
          <w:lang w:eastAsia="en-US"/>
        </w:rPr>
        <w:instrText xml:space="preserve"> AUTONUM  </w:instrText>
      </w:r>
      <w:r>
        <w:rPr>
          <w:lang w:eastAsia="en-US"/>
        </w:rPr>
        <w:fldChar w:fldCharType="end"/>
      </w:r>
      <w:r>
        <w:rPr>
          <w:lang w:eastAsia="en-US"/>
        </w:rPr>
        <w:tab/>
      </w:r>
      <w:r w:rsidR="00296701">
        <w:rPr>
          <w:lang w:eastAsia="en-US"/>
        </w:rPr>
        <w:t xml:space="preserve">With regard to the </w:t>
      </w:r>
      <w:r w:rsidR="00296701">
        <w:t xml:space="preserve">priority </w:t>
      </w:r>
      <w:r w:rsidR="008E4337">
        <w:t xml:space="preserve">of </w:t>
      </w:r>
      <w:r w:rsidR="00296701">
        <w:t xml:space="preserve">the 40 Recommendations, taking into account </w:t>
      </w:r>
      <w:r w:rsidR="00206410">
        <w:t>the results</w:t>
      </w:r>
      <w:r w:rsidR="009865DF">
        <w:t xml:space="preserve"> of the survey</w:t>
      </w:r>
      <w:r w:rsidR="00296701">
        <w:t xml:space="preserve"> conducted within the Task Force</w:t>
      </w:r>
      <w:r w:rsidR="00206410">
        <w:t xml:space="preserve">, the </w:t>
      </w:r>
      <w:r w:rsidR="00296701">
        <w:t>International Bureau, as the Task Force leader,</w:t>
      </w:r>
      <w:r w:rsidR="00206410">
        <w:t xml:space="preserve"> reported the following recommendations, which belong to Group 1 (Recommendations related to the CWS Tasks), as a priority:</w:t>
      </w:r>
    </w:p>
    <w:p w14:paraId="07D6D083" w14:textId="77777777" w:rsidR="00206410" w:rsidRDefault="00206410" w:rsidP="00206410">
      <w:pPr>
        <w:pStyle w:val="ONUMFS"/>
        <w:numPr>
          <w:ilvl w:val="0"/>
          <w:numId w:val="9"/>
        </w:numPr>
        <w:spacing w:after="120"/>
        <w:ind w:left="1077" w:hanging="357"/>
      </w:pPr>
      <w:r>
        <w:t>Sharing information and possible collaboration on emerging technologies for IP administration such as search, classifications and languages (R09);</w:t>
      </w:r>
    </w:p>
    <w:p w14:paraId="5709F7F2" w14:textId="77777777" w:rsidR="00206410" w:rsidRDefault="00206410" w:rsidP="00206410">
      <w:pPr>
        <w:pStyle w:val="ONUMFS"/>
        <w:numPr>
          <w:ilvl w:val="0"/>
          <w:numId w:val="9"/>
        </w:numPr>
        <w:spacing w:after="120"/>
        <w:ind w:left="1077" w:hanging="357"/>
      </w:pPr>
      <w:r w:rsidRPr="00236BC5">
        <w:t>Common conversion software</w:t>
      </w:r>
      <w:r>
        <w:t xml:space="preserve"> tool to XML</w:t>
      </w:r>
      <w:r w:rsidRPr="00236BC5">
        <w:t xml:space="preserve">, e.g. </w:t>
      </w:r>
      <w:r>
        <w:t>DOCX</w:t>
      </w:r>
      <w:r w:rsidRPr="00236BC5">
        <w:t xml:space="preserve"> convertor</w:t>
      </w:r>
      <w:r>
        <w:t xml:space="preserve"> (R18 and</w:t>
      </w:r>
      <w:r w:rsidRPr="00236BC5">
        <w:t xml:space="preserve"> R4</w:t>
      </w:r>
      <w:r>
        <w:t>);</w:t>
      </w:r>
    </w:p>
    <w:p w14:paraId="3479EE42" w14:textId="77777777" w:rsidR="00206410" w:rsidRDefault="00206410" w:rsidP="00206410">
      <w:pPr>
        <w:pStyle w:val="ONUMFS"/>
        <w:numPr>
          <w:ilvl w:val="0"/>
          <w:numId w:val="9"/>
        </w:numPr>
        <w:spacing w:after="120"/>
        <w:ind w:left="1077" w:hanging="357"/>
      </w:pPr>
      <w:r>
        <w:t>Re-engineering and d</w:t>
      </w:r>
      <w:r w:rsidRPr="00236BC5">
        <w:t>igital transformation</w:t>
      </w:r>
      <w:r>
        <w:t xml:space="preserve"> (R06);</w:t>
      </w:r>
    </w:p>
    <w:p w14:paraId="44B630AB" w14:textId="77777777" w:rsidR="00206410" w:rsidRDefault="00206410" w:rsidP="00206410">
      <w:pPr>
        <w:pStyle w:val="ONUMFS"/>
        <w:numPr>
          <w:ilvl w:val="0"/>
          <w:numId w:val="9"/>
        </w:numPr>
        <w:spacing w:after="120"/>
        <w:ind w:left="1077" w:hanging="357"/>
      </w:pPr>
      <w:r>
        <w:t>Providing IPOs’ authority file data or information to the International Bureau (R23);</w:t>
      </w:r>
    </w:p>
    <w:p w14:paraId="1C75F008" w14:textId="77777777" w:rsidR="00206410" w:rsidRDefault="00206410" w:rsidP="00206410">
      <w:pPr>
        <w:pStyle w:val="ONUMFS"/>
        <w:numPr>
          <w:ilvl w:val="0"/>
          <w:numId w:val="9"/>
        </w:numPr>
        <w:spacing w:after="120"/>
        <w:ind w:left="1077" w:hanging="357"/>
      </w:pPr>
      <w:r w:rsidRPr="00236BC5">
        <w:t>Online services via API</w:t>
      </w:r>
      <w:r>
        <w:t>s</w:t>
      </w:r>
      <w:r w:rsidRPr="00236BC5">
        <w:t xml:space="preserve"> </w:t>
      </w:r>
      <w:r>
        <w:t xml:space="preserve">enabling </w:t>
      </w:r>
      <w:r w:rsidRPr="00236BC5">
        <w:t>interoperability</w:t>
      </w:r>
      <w:r>
        <w:t xml:space="preserve"> of systems, including systems developed by third party solution providers (</w:t>
      </w:r>
      <w:r w:rsidRPr="00236BC5">
        <w:t>R39</w:t>
      </w:r>
      <w:r>
        <w:t>);</w:t>
      </w:r>
    </w:p>
    <w:p w14:paraId="73862990" w14:textId="77777777" w:rsidR="00206410" w:rsidRDefault="00206410" w:rsidP="00206410">
      <w:pPr>
        <w:pStyle w:val="ONUMFS"/>
        <w:numPr>
          <w:ilvl w:val="0"/>
          <w:numId w:val="9"/>
        </w:numPr>
        <w:spacing w:after="120"/>
        <w:ind w:left="1077" w:hanging="357"/>
      </w:pPr>
      <w:r>
        <w:t xml:space="preserve">Developing a prototype for a distributed IP registry, exploring potential use cases of blockchain technology, including IP registry and priority data, and investigating </w:t>
      </w:r>
      <w:r w:rsidRPr="00BC4EF6">
        <w:t>legal and technical possibilities for identifying patent families</w:t>
      </w:r>
      <w:r>
        <w:t xml:space="preserve"> (R12 and R15); and</w:t>
      </w:r>
    </w:p>
    <w:p w14:paraId="7CF55E2A" w14:textId="77777777" w:rsidR="00206410" w:rsidRDefault="00206410" w:rsidP="00206410">
      <w:pPr>
        <w:pStyle w:val="ONUMFS"/>
        <w:numPr>
          <w:ilvl w:val="0"/>
          <w:numId w:val="9"/>
        </w:numPr>
        <w:ind w:left="1077" w:hanging="357"/>
      </w:pPr>
      <w:r>
        <w:t>Exploring improved methods and creating a prototype of centralized service, with open and standard APIs, for data dissemination and data exchange between IPOs and regional/international IP systems (R38).</w:t>
      </w:r>
    </w:p>
    <w:p w14:paraId="6C891622" w14:textId="7644A7CD" w:rsidR="00296701" w:rsidRDefault="00296701" w:rsidP="00704783">
      <w:pPr>
        <w:spacing w:after="220"/>
      </w:pPr>
      <w:r>
        <w:rPr>
          <w:lang w:eastAsia="en-US"/>
        </w:rPr>
        <w:t xml:space="preserve">(See paragraph 6 of document CWS/8/13.)  </w:t>
      </w:r>
    </w:p>
    <w:p w14:paraId="6C2A5DFA" w14:textId="095FA414" w:rsidR="0024191F" w:rsidRDefault="003B3DEC" w:rsidP="00704783">
      <w:pPr>
        <w:spacing w:after="220"/>
      </w:pPr>
      <w:r>
        <w:fldChar w:fldCharType="begin"/>
      </w:r>
      <w:r>
        <w:instrText xml:space="preserve"> AUTONUM  </w:instrText>
      </w:r>
      <w:r>
        <w:fldChar w:fldCharType="end"/>
      </w:r>
      <w:r>
        <w:tab/>
      </w:r>
      <w:r w:rsidR="00206410">
        <w:t xml:space="preserve">The CWS also noted that the </w:t>
      </w:r>
      <w:r w:rsidR="009865DF">
        <w:t xml:space="preserve">Task Force </w:t>
      </w:r>
      <w:r w:rsidR="00206410">
        <w:t xml:space="preserve">survey only </w:t>
      </w:r>
      <w:r w:rsidR="009865DF">
        <w:t>had response</w:t>
      </w:r>
      <w:r w:rsidR="00296701">
        <w:t>s</w:t>
      </w:r>
      <w:r w:rsidR="009865DF">
        <w:t xml:space="preserve"> from </w:t>
      </w:r>
      <w:r w:rsidR="00206410">
        <w:t xml:space="preserve">seven Task Force members.  </w:t>
      </w:r>
      <w:r w:rsidR="00704783">
        <w:t xml:space="preserve">In order to gather </w:t>
      </w:r>
      <w:r w:rsidR="008E4337">
        <w:t xml:space="preserve">opinions from a </w:t>
      </w:r>
      <w:r w:rsidR="00704783">
        <w:t xml:space="preserve">wider </w:t>
      </w:r>
      <w:r w:rsidR="005E45A3">
        <w:t>audience</w:t>
      </w:r>
      <w:r w:rsidR="00704783">
        <w:t xml:space="preserve">, </w:t>
      </w:r>
      <w:r w:rsidR="00E160B0">
        <w:t>t</w:t>
      </w:r>
      <w:r w:rsidR="0024191F">
        <w:t xml:space="preserve">he CWS requested that the International Bureau invite all IPOs to take a survey on priority of the 40 </w:t>
      </w:r>
      <w:r w:rsidR="00155B72">
        <w:t>R</w:t>
      </w:r>
      <w:r w:rsidR="0024191F">
        <w:t>ecommendations and report the results at its ninth session.  (See paragraphs 83 to 84 of document CWS/8/24).</w:t>
      </w:r>
    </w:p>
    <w:p w14:paraId="30642F3D" w14:textId="77777777" w:rsidR="00C80BFB" w:rsidRPr="00AB2363" w:rsidRDefault="00C80BFB" w:rsidP="005A72B3">
      <w:pPr>
        <w:pStyle w:val="Heading2"/>
        <w:rPr>
          <w:lang w:eastAsia="en-US"/>
        </w:rPr>
      </w:pPr>
      <w:r>
        <w:rPr>
          <w:lang w:eastAsia="en-US"/>
        </w:rPr>
        <w:t>SURVEY</w:t>
      </w:r>
      <w:r w:rsidRPr="00AB2363">
        <w:rPr>
          <w:lang w:eastAsia="en-US"/>
        </w:rPr>
        <w:t xml:space="preserve"> </w:t>
      </w:r>
      <w:r w:rsidRPr="00883AF7">
        <w:rPr>
          <w:rFonts w:eastAsia="Malgun Gothic"/>
          <w:caps w:val="0"/>
          <w:szCs w:val="22"/>
        </w:rPr>
        <w:t>RESULTS</w:t>
      </w:r>
    </w:p>
    <w:p w14:paraId="0E7514E6" w14:textId="02A17740" w:rsidR="005257A0" w:rsidRDefault="004961A1" w:rsidP="005257A0">
      <w:pPr>
        <w:pStyle w:val="ONUMFS"/>
        <w:numPr>
          <w:ilvl w:val="0"/>
          <w:numId w:val="0"/>
        </w:numPr>
        <w:rPr>
          <w:lang w:eastAsia="en-US"/>
        </w:rPr>
      </w:pPr>
      <w:r>
        <w:fldChar w:fldCharType="begin"/>
      </w:r>
      <w:r>
        <w:instrText xml:space="preserve"> AUTONUM  </w:instrText>
      </w:r>
      <w:r>
        <w:fldChar w:fldCharType="end"/>
      </w:r>
      <w:r>
        <w:tab/>
        <w:t>In June 2021,</w:t>
      </w:r>
      <w:r w:rsidRPr="00AB2363">
        <w:t xml:space="preserve"> </w:t>
      </w:r>
      <w:r>
        <w:t>t</w:t>
      </w:r>
      <w:r w:rsidRPr="00AB2363">
        <w:t xml:space="preserve">he </w:t>
      </w:r>
      <w:r>
        <w:t xml:space="preserve">Secretariat </w:t>
      </w:r>
      <w:r w:rsidRPr="00AB2363">
        <w:t>issued circular C</w:t>
      </w:r>
      <w:r>
        <w:t>.</w:t>
      </w:r>
      <w:r w:rsidRPr="00AB2363">
        <w:t>CWS</w:t>
      </w:r>
      <w:r>
        <w:t>.</w:t>
      </w:r>
      <w:r w:rsidRPr="00AB2363">
        <w:t>1</w:t>
      </w:r>
      <w:r>
        <w:t>51</w:t>
      </w:r>
      <w:r w:rsidRPr="00AB2363">
        <w:t xml:space="preserve"> inviting IPOs to participate in </w:t>
      </w:r>
      <w:r>
        <w:t xml:space="preserve">a </w:t>
      </w:r>
      <w:r w:rsidRPr="00AB2363">
        <w:t>survey</w:t>
      </w:r>
      <w:r>
        <w:t xml:space="preserve"> on priority of 40 ICT Strategy Recommendations</w:t>
      </w:r>
      <w:r w:rsidR="009865DF">
        <w:t>,</w:t>
      </w:r>
      <w:r>
        <w:t xml:space="preserve"> and 27 IPOs responded to the survey</w:t>
      </w:r>
      <w:r w:rsidRPr="00AB2363">
        <w:t>.</w:t>
      </w:r>
      <w:r>
        <w:t xml:space="preserve">  </w:t>
      </w:r>
      <w:r w:rsidR="00C80BFB">
        <w:rPr>
          <w:lang w:eastAsia="en-US"/>
        </w:rPr>
        <w:t xml:space="preserve">Responses were received </w:t>
      </w:r>
      <w:r w:rsidR="0024191F">
        <w:t>from 2</w:t>
      </w:r>
      <w:r w:rsidR="00155B72">
        <w:t>2</w:t>
      </w:r>
      <w:r w:rsidR="0024191F">
        <w:t xml:space="preserve"> IPOs</w:t>
      </w:r>
      <w:r w:rsidR="001C479A">
        <w:t xml:space="preserve"> of the following Member States</w:t>
      </w:r>
      <w:r w:rsidR="0024191F">
        <w:t xml:space="preserve">: </w:t>
      </w:r>
      <w:r w:rsidR="00D11DA9">
        <w:rPr>
          <w:lang w:eastAsia="en-US"/>
        </w:rPr>
        <w:t>Australia</w:t>
      </w:r>
      <w:r w:rsidR="00155B72">
        <w:rPr>
          <w:lang w:eastAsia="en-US"/>
        </w:rPr>
        <w:t>,</w:t>
      </w:r>
      <w:r w:rsidR="00D11DA9">
        <w:rPr>
          <w:lang w:eastAsia="en-US"/>
        </w:rPr>
        <w:t xml:space="preserve"> Bahrain</w:t>
      </w:r>
      <w:r w:rsidR="00155B72">
        <w:rPr>
          <w:lang w:eastAsia="en-US"/>
        </w:rPr>
        <w:t>,</w:t>
      </w:r>
      <w:r w:rsidR="00D11DA9">
        <w:rPr>
          <w:lang w:eastAsia="en-US"/>
        </w:rPr>
        <w:t xml:space="preserve"> Bosnia and Herzegovina</w:t>
      </w:r>
      <w:r w:rsidR="00155B72">
        <w:rPr>
          <w:lang w:eastAsia="en-US"/>
        </w:rPr>
        <w:t>,</w:t>
      </w:r>
      <w:r w:rsidR="00D11DA9">
        <w:rPr>
          <w:lang w:eastAsia="en-US"/>
        </w:rPr>
        <w:t xml:space="preserve"> Canada</w:t>
      </w:r>
      <w:r w:rsidR="00155B72">
        <w:rPr>
          <w:lang w:eastAsia="en-US"/>
        </w:rPr>
        <w:t>,</w:t>
      </w:r>
      <w:r w:rsidR="00D11DA9">
        <w:rPr>
          <w:lang w:eastAsia="en-US"/>
        </w:rPr>
        <w:t xml:space="preserve"> Chile</w:t>
      </w:r>
      <w:r w:rsidR="00155B72">
        <w:rPr>
          <w:lang w:eastAsia="en-US"/>
        </w:rPr>
        <w:t>,</w:t>
      </w:r>
      <w:r w:rsidR="00D11DA9">
        <w:rPr>
          <w:lang w:eastAsia="en-US"/>
        </w:rPr>
        <w:t xml:space="preserve"> Czech Republic</w:t>
      </w:r>
      <w:r w:rsidR="00155B72">
        <w:rPr>
          <w:lang w:eastAsia="en-US"/>
        </w:rPr>
        <w:t>,</w:t>
      </w:r>
      <w:r w:rsidR="00D11DA9">
        <w:rPr>
          <w:lang w:eastAsia="en-US"/>
        </w:rPr>
        <w:t xml:space="preserve"> Ecuado</w:t>
      </w:r>
      <w:r w:rsidR="00155B72">
        <w:rPr>
          <w:lang w:eastAsia="en-US"/>
        </w:rPr>
        <w:t>r,</w:t>
      </w:r>
      <w:r w:rsidR="00D11DA9">
        <w:rPr>
          <w:lang w:eastAsia="en-US"/>
        </w:rPr>
        <w:t xml:space="preserve"> Estonia</w:t>
      </w:r>
      <w:r w:rsidR="00155B72">
        <w:rPr>
          <w:lang w:eastAsia="en-US"/>
        </w:rPr>
        <w:t>,</w:t>
      </w:r>
      <w:r w:rsidR="00D11DA9">
        <w:rPr>
          <w:lang w:eastAsia="en-US"/>
        </w:rPr>
        <w:t xml:space="preserve"> Hungary</w:t>
      </w:r>
      <w:r w:rsidR="00155B72">
        <w:rPr>
          <w:lang w:eastAsia="en-US"/>
        </w:rPr>
        <w:t>,</w:t>
      </w:r>
      <w:r w:rsidR="00D11DA9">
        <w:rPr>
          <w:lang w:eastAsia="en-US"/>
        </w:rPr>
        <w:t xml:space="preserve"> Italy</w:t>
      </w:r>
      <w:r w:rsidR="00155B72">
        <w:rPr>
          <w:lang w:eastAsia="en-US"/>
        </w:rPr>
        <w:t>,</w:t>
      </w:r>
      <w:r w:rsidR="00D11DA9">
        <w:rPr>
          <w:lang w:eastAsia="en-US"/>
        </w:rPr>
        <w:t xml:space="preserve"> Japan</w:t>
      </w:r>
      <w:r w:rsidR="00155B72">
        <w:rPr>
          <w:lang w:eastAsia="en-US"/>
        </w:rPr>
        <w:t>,</w:t>
      </w:r>
      <w:r w:rsidR="00D11DA9">
        <w:rPr>
          <w:lang w:eastAsia="en-US"/>
        </w:rPr>
        <w:t xml:space="preserve"> Mexico</w:t>
      </w:r>
      <w:r w:rsidR="00155B72">
        <w:rPr>
          <w:lang w:eastAsia="en-US"/>
        </w:rPr>
        <w:t>,</w:t>
      </w:r>
      <w:r w:rsidR="00D11DA9">
        <w:rPr>
          <w:lang w:eastAsia="en-US"/>
        </w:rPr>
        <w:t xml:space="preserve"> New Zealand</w:t>
      </w:r>
      <w:r w:rsidR="007E771B">
        <w:rPr>
          <w:lang w:eastAsia="en-US"/>
        </w:rPr>
        <w:t xml:space="preserve"> (NZ)</w:t>
      </w:r>
      <w:r w:rsidR="00155B72">
        <w:rPr>
          <w:lang w:eastAsia="en-US"/>
        </w:rPr>
        <w:t>,</w:t>
      </w:r>
      <w:r w:rsidR="00D11DA9">
        <w:rPr>
          <w:lang w:eastAsia="en-US"/>
        </w:rPr>
        <w:t xml:space="preserve"> Norway</w:t>
      </w:r>
      <w:r w:rsidR="00155B72">
        <w:rPr>
          <w:lang w:eastAsia="en-US"/>
        </w:rPr>
        <w:t>,</w:t>
      </w:r>
      <w:r w:rsidR="00D11DA9">
        <w:rPr>
          <w:lang w:eastAsia="en-US"/>
        </w:rPr>
        <w:t xml:space="preserve"> Russian Federation</w:t>
      </w:r>
      <w:r w:rsidR="00155B72">
        <w:rPr>
          <w:lang w:eastAsia="en-US"/>
        </w:rPr>
        <w:t>,</w:t>
      </w:r>
      <w:r w:rsidR="00D11DA9">
        <w:rPr>
          <w:lang w:eastAsia="en-US"/>
        </w:rPr>
        <w:t xml:space="preserve"> Slovakia</w:t>
      </w:r>
      <w:r w:rsidR="00155B72">
        <w:rPr>
          <w:lang w:eastAsia="en-US"/>
        </w:rPr>
        <w:t>,</w:t>
      </w:r>
      <w:r w:rsidR="00D11DA9">
        <w:rPr>
          <w:lang w:eastAsia="en-US"/>
        </w:rPr>
        <w:t xml:space="preserve"> Spain</w:t>
      </w:r>
      <w:r w:rsidR="00155B72">
        <w:rPr>
          <w:lang w:eastAsia="en-US"/>
        </w:rPr>
        <w:t>,</w:t>
      </w:r>
      <w:r w:rsidR="00D11DA9">
        <w:rPr>
          <w:lang w:eastAsia="en-US"/>
        </w:rPr>
        <w:t xml:space="preserve"> Sweden</w:t>
      </w:r>
      <w:r w:rsidR="00155B72">
        <w:rPr>
          <w:lang w:eastAsia="en-US"/>
        </w:rPr>
        <w:t>,</w:t>
      </w:r>
      <w:r w:rsidR="00D11DA9">
        <w:rPr>
          <w:lang w:eastAsia="en-US"/>
        </w:rPr>
        <w:t xml:space="preserve"> United Kingdom</w:t>
      </w:r>
      <w:r w:rsidR="00155B72">
        <w:rPr>
          <w:lang w:eastAsia="en-US"/>
        </w:rPr>
        <w:t>,</w:t>
      </w:r>
      <w:r w:rsidR="00D11DA9">
        <w:rPr>
          <w:lang w:eastAsia="en-US"/>
        </w:rPr>
        <w:t xml:space="preserve"> United States of America</w:t>
      </w:r>
      <w:r w:rsidR="007E771B">
        <w:rPr>
          <w:lang w:eastAsia="en-US"/>
        </w:rPr>
        <w:t xml:space="preserve"> (US)</w:t>
      </w:r>
      <w:r w:rsidR="00155B72">
        <w:rPr>
          <w:lang w:eastAsia="en-US"/>
        </w:rPr>
        <w:t>,</w:t>
      </w:r>
      <w:r w:rsidR="00D11DA9">
        <w:rPr>
          <w:lang w:eastAsia="en-US"/>
        </w:rPr>
        <w:t xml:space="preserve"> Uruguay</w:t>
      </w:r>
      <w:r w:rsidR="00155B72">
        <w:rPr>
          <w:lang w:eastAsia="en-US"/>
        </w:rPr>
        <w:t>,</w:t>
      </w:r>
      <w:r w:rsidR="00D11DA9">
        <w:rPr>
          <w:lang w:eastAsia="en-US"/>
        </w:rPr>
        <w:t xml:space="preserve"> and Uzbekistan</w:t>
      </w:r>
      <w:r w:rsidR="001C479A">
        <w:rPr>
          <w:lang w:eastAsia="en-US"/>
        </w:rPr>
        <w:t xml:space="preserve">; </w:t>
      </w:r>
      <w:r w:rsidR="009865DF">
        <w:rPr>
          <w:lang w:eastAsia="en-US"/>
        </w:rPr>
        <w:t xml:space="preserve">and </w:t>
      </w:r>
      <w:r w:rsidR="001C479A">
        <w:rPr>
          <w:lang w:eastAsia="en-US"/>
        </w:rPr>
        <w:t xml:space="preserve">the </w:t>
      </w:r>
      <w:r w:rsidR="00155B72">
        <w:rPr>
          <w:lang w:eastAsia="en-US"/>
        </w:rPr>
        <w:t xml:space="preserve">four following </w:t>
      </w:r>
      <w:r w:rsidR="001C479A">
        <w:rPr>
          <w:lang w:eastAsia="en-US"/>
        </w:rPr>
        <w:t>regional Offices</w:t>
      </w:r>
      <w:r w:rsidR="00155B72">
        <w:rPr>
          <w:lang w:eastAsia="en-US"/>
        </w:rPr>
        <w:t>:</w:t>
      </w:r>
      <w:r w:rsidR="001C479A">
        <w:rPr>
          <w:lang w:eastAsia="en-US"/>
        </w:rPr>
        <w:t xml:space="preserve"> African Regional Intellectual Property Organization (ARIPO)</w:t>
      </w:r>
      <w:r w:rsidR="00155B72">
        <w:rPr>
          <w:lang w:eastAsia="en-US"/>
        </w:rPr>
        <w:t>,</w:t>
      </w:r>
      <w:r w:rsidR="001C479A" w:rsidRPr="001C479A">
        <w:rPr>
          <w:lang w:eastAsia="en-US"/>
        </w:rPr>
        <w:t xml:space="preserve"> </w:t>
      </w:r>
      <w:r w:rsidR="001C479A">
        <w:rPr>
          <w:lang w:eastAsia="en-US"/>
        </w:rPr>
        <w:t>European Patent Office (EPO)</w:t>
      </w:r>
      <w:r w:rsidR="00155B72">
        <w:rPr>
          <w:lang w:eastAsia="en-US"/>
        </w:rPr>
        <w:t>,</w:t>
      </w:r>
      <w:r w:rsidR="001C479A" w:rsidRPr="001C479A">
        <w:rPr>
          <w:lang w:eastAsia="en-US"/>
        </w:rPr>
        <w:t xml:space="preserve"> </w:t>
      </w:r>
      <w:r w:rsidR="001C479A">
        <w:rPr>
          <w:lang w:eastAsia="en-US"/>
        </w:rPr>
        <w:t>European Union Intellectual Property Office (EUIPO)</w:t>
      </w:r>
      <w:r w:rsidR="00155B72">
        <w:rPr>
          <w:lang w:eastAsia="en-US"/>
        </w:rPr>
        <w:t xml:space="preserve">, </w:t>
      </w:r>
      <w:r w:rsidR="001C479A">
        <w:rPr>
          <w:lang w:eastAsia="en-US"/>
        </w:rPr>
        <w:t>Patent Office of the Cooperation Council for the Arab States of the Gulf (GCC); and the International Bureau</w:t>
      </w:r>
      <w:r w:rsidR="009865DF">
        <w:rPr>
          <w:lang w:eastAsia="en-US"/>
        </w:rPr>
        <w:t xml:space="preserve"> (PCT)</w:t>
      </w:r>
      <w:r w:rsidR="008A520D">
        <w:rPr>
          <w:lang w:eastAsia="en-US"/>
        </w:rPr>
        <w:t>.</w:t>
      </w:r>
      <w:r w:rsidR="00D53A49">
        <w:rPr>
          <w:lang w:eastAsia="en-US"/>
        </w:rPr>
        <w:t xml:space="preserve">  </w:t>
      </w:r>
      <w:r w:rsidR="00D53A49">
        <w:t xml:space="preserve">Full survey responses are available </w:t>
      </w:r>
      <w:r w:rsidR="00C04FA9">
        <w:t xml:space="preserve">as Annex </w:t>
      </w:r>
      <w:r w:rsidR="00026BBB">
        <w:t xml:space="preserve">I </w:t>
      </w:r>
      <w:r w:rsidR="00C04FA9">
        <w:t xml:space="preserve">to the present document. </w:t>
      </w:r>
    </w:p>
    <w:p w14:paraId="3CAF77F3" w14:textId="28E1632D" w:rsidR="005257A0" w:rsidRPr="005257A0" w:rsidRDefault="008A520D" w:rsidP="00CA5243">
      <w:pPr>
        <w:pStyle w:val="ONUMFS"/>
        <w:numPr>
          <w:ilvl w:val="0"/>
          <w:numId w:val="0"/>
        </w:numPr>
        <w:rPr>
          <w:sz w:val="20"/>
          <w:lang w:eastAsia="en-US"/>
        </w:rPr>
      </w:pPr>
      <w:r>
        <w:fldChar w:fldCharType="begin"/>
      </w:r>
      <w:r>
        <w:instrText xml:space="preserve"> AUTONUM  </w:instrText>
      </w:r>
      <w:r>
        <w:fldChar w:fldCharType="end"/>
      </w:r>
      <w:r>
        <w:tab/>
        <w:t xml:space="preserve">The following table shows the number of votes each recommendation received, sorted by Borda score and split into </w:t>
      </w:r>
      <w:r w:rsidR="005E45A3">
        <w:t>categories</w:t>
      </w:r>
      <w:r>
        <w:t xml:space="preserve"> as described below</w:t>
      </w:r>
      <w:r w:rsidR="00885FDA">
        <w:t xml:space="preserve"> (Recommendations highlighted in </w:t>
      </w:r>
      <w:r w:rsidR="00C44CFF">
        <w:t>orange</w:t>
      </w:r>
      <w:r w:rsidR="00885FDA">
        <w:t xml:space="preserve"> are categorized in Group 3 mentioned in paragraph 3 above and ones highlighted in </w:t>
      </w:r>
      <w:r w:rsidR="00C44CFF">
        <w:t>green</w:t>
      </w:r>
      <w:r w:rsidR="00885FDA">
        <w:t xml:space="preserve"> </w:t>
      </w:r>
      <w:r w:rsidR="00B05D4F">
        <w:t>are</w:t>
      </w:r>
      <w:r w:rsidR="00885FDA">
        <w:t xml:space="preserve"> prioritized by the Task Force as indicated paragraph 4 above)</w:t>
      </w:r>
      <w:r>
        <w:t>:</w:t>
      </w:r>
      <w:r w:rsidR="005257A0" w:rsidRPr="005257A0">
        <w:rPr>
          <w:sz w:val="20"/>
          <w:lang w:eastAsia="en-US"/>
        </w:rPr>
        <w:br w:type="page"/>
      </w:r>
    </w:p>
    <w:tbl>
      <w:tblPr>
        <w:tblW w:w="7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bottom w:w="29" w:type="dxa"/>
          <w:right w:w="144" w:type="dxa"/>
        </w:tblCellMar>
        <w:tblLook w:val="04A0" w:firstRow="1" w:lastRow="0" w:firstColumn="1" w:lastColumn="0" w:noHBand="0" w:noVBand="1"/>
      </w:tblPr>
      <w:tblGrid>
        <w:gridCol w:w="1967"/>
        <w:gridCol w:w="960"/>
        <w:gridCol w:w="1061"/>
        <w:gridCol w:w="960"/>
        <w:gridCol w:w="1300"/>
        <w:gridCol w:w="1547"/>
      </w:tblGrid>
      <w:tr w:rsidR="00AF5156" w:rsidRPr="005257A0" w14:paraId="7EADB069" w14:textId="115570D4" w:rsidTr="00AF5156">
        <w:trPr>
          <w:trHeight w:val="288"/>
        </w:trPr>
        <w:tc>
          <w:tcPr>
            <w:tcW w:w="1967" w:type="dxa"/>
            <w:tcBorders>
              <w:bottom w:val="single" w:sz="12" w:space="0" w:color="auto"/>
            </w:tcBorders>
            <w:shd w:val="clear" w:color="auto" w:fill="D9D9D9" w:themeFill="background1" w:themeFillShade="D9"/>
            <w:noWrap/>
            <w:hideMark/>
          </w:tcPr>
          <w:p w14:paraId="67C0CE6F" w14:textId="77777777" w:rsidR="00AF5156" w:rsidRPr="005257A0" w:rsidRDefault="00AF5156" w:rsidP="00AF5156">
            <w:pPr>
              <w:spacing w:before="120" w:after="120"/>
              <w:jc w:val="center"/>
              <w:rPr>
                <w:rFonts w:eastAsia="Times New Roman"/>
                <w:b/>
                <w:bCs/>
                <w:color w:val="000000"/>
                <w:sz w:val="20"/>
                <w:lang w:eastAsia="en-US"/>
              </w:rPr>
            </w:pPr>
            <w:r w:rsidRPr="005257A0">
              <w:rPr>
                <w:rFonts w:eastAsia="Times New Roman"/>
                <w:b/>
                <w:bCs/>
                <w:color w:val="000000"/>
                <w:sz w:val="20"/>
                <w:lang w:eastAsia="en-US"/>
              </w:rPr>
              <w:t>Recommendation</w:t>
            </w:r>
            <w:r>
              <w:rPr>
                <w:rFonts w:eastAsia="Times New Roman"/>
                <w:b/>
                <w:bCs/>
                <w:color w:val="000000"/>
                <w:sz w:val="20"/>
                <w:lang w:eastAsia="en-US"/>
              </w:rPr>
              <w:t xml:space="preserve"> </w:t>
            </w:r>
            <w:r w:rsidRPr="005257A0">
              <w:rPr>
                <w:rFonts w:eastAsia="Times New Roman"/>
                <w:b/>
                <w:bCs/>
                <w:color w:val="000000"/>
                <w:sz w:val="20"/>
                <w:lang w:eastAsia="en-US"/>
              </w:rPr>
              <w:t>Number</w:t>
            </w:r>
          </w:p>
        </w:tc>
        <w:tc>
          <w:tcPr>
            <w:tcW w:w="960" w:type="dxa"/>
            <w:tcBorders>
              <w:bottom w:val="single" w:sz="12" w:space="0" w:color="auto"/>
            </w:tcBorders>
            <w:shd w:val="clear" w:color="auto" w:fill="D9D9D9" w:themeFill="background1" w:themeFillShade="D9"/>
            <w:noWrap/>
            <w:hideMark/>
          </w:tcPr>
          <w:p w14:paraId="6ABC7561" w14:textId="77777777" w:rsidR="00AF5156" w:rsidRPr="005257A0" w:rsidRDefault="00AF5156" w:rsidP="00AF5156">
            <w:pPr>
              <w:spacing w:before="120" w:after="120"/>
              <w:jc w:val="center"/>
              <w:rPr>
                <w:rFonts w:eastAsia="Times New Roman"/>
                <w:b/>
                <w:bCs/>
                <w:color w:val="000000"/>
                <w:sz w:val="20"/>
                <w:lang w:eastAsia="en-US"/>
              </w:rPr>
            </w:pPr>
            <w:r w:rsidRPr="005257A0">
              <w:rPr>
                <w:rFonts w:eastAsia="Times New Roman"/>
                <w:b/>
                <w:bCs/>
                <w:color w:val="000000"/>
                <w:sz w:val="20"/>
                <w:lang w:eastAsia="en-US"/>
              </w:rPr>
              <w:t>High</w:t>
            </w:r>
            <w:r>
              <w:rPr>
                <w:rFonts w:eastAsia="Times New Roman"/>
                <w:b/>
                <w:bCs/>
                <w:color w:val="000000"/>
                <w:sz w:val="20"/>
                <w:lang w:eastAsia="en-US"/>
              </w:rPr>
              <w:t xml:space="preserve"> Votes</w:t>
            </w:r>
          </w:p>
        </w:tc>
        <w:tc>
          <w:tcPr>
            <w:tcW w:w="1061" w:type="dxa"/>
            <w:tcBorders>
              <w:bottom w:val="single" w:sz="12" w:space="0" w:color="auto"/>
            </w:tcBorders>
            <w:shd w:val="clear" w:color="auto" w:fill="D9D9D9" w:themeFill="background1" w:themeFillShade="D9"/>
            <w:noWrap/>
            <w:hideMark/>
          </w:tcPr>
          <w:p w14:paraId="5AEFEA25" w14:textId="77777777" w:rsidR="00AF5156" w:rsidRPr="005257A0" w:rsidRDefault="00AF5156" w:rsidP="00AF5156">
            <w:pPr>
              <w:spacing w:before="120" w:after="120"/>
              <w:jc w:val="center"/>
              <w:rPr>
                <w:rFonts w:eastAsia="Times New Roman"/>
                <w:b/>
                <w:bCs/>
                <w:color w:val="000000"/>
                <w:sz w:val="20"/>
                <w:lang w:eastAsia="en-US"/>
              </w:rPr>
            </w:pPr>
            <w:r w:rsidRPr="005257A0">
              <w:rPr>
                <w:rFonts w:eastAsia="Times New Roman"/>
                <w:b/>
                <w:bCs/>
                <w:color w:val="000000"/>
                <w:sz w:val="20"/>
                <w:lang w:eastAsia="en-US"/>
              </w:rPr>
              <w:t>Medium</w:t>
            </w:r>
            <w:r>
              <w:rPr>
                <w:rFonts w:eastAsia="Times New Roman"/>
                <w:b/>
                <w:bCs/>
                <w:color w:val="000000"/>
                <w:sz w:val="20"/>
                <w:lang w:eastAsia="en-US"/>
              </w:rPr>
              <w:t xml:space="preserve"> Votes</w:t>
            </w:r>
          </w:p>
        </w:tc>
        <w:tc>
          <w:tcPr>
            <w:tcW w:w="960" w:type="dxa"/>
            <w:tcBorders>
              <w:bottom w:val="single" w:sz="12" w:space="0" w:color="auto"/>
            </w:tcBorders>
            <w:shd w:val="clear" w:color="auto" w:fill="D9D9D9" w:themeFill="background1" w:themeFillShade="D9"/>
            <w:noWrap/>
            <w:hideMark/>
          </w:tcPr>
          <w:p w14:paraId="40F67A76" w14:textId="77777777" w:rsidR="00AF5156" w:rsidRPr="005257A0" w:rsidRDefault="00AF5156" w:rsidP="00AF5156">
            <w:pPr>
              <w:spacing w:before="120" w:after="120"/>
              <w:jc w:val="center"/>
              <w:rPr>
                <w:rFonts w:eastAsia="Times New Roman"/>
                <w:b/>
                <w:bCs/>
                <w:color w:val="000000"/>
                <w:sz w:val="20"/>
                <w:lang w:eastAsia="en-US"/>
              </w:rPr>
            </w:pPr>
            <w:r w:rsidRPr="005257A0">
              <w:rPr>
                <w:rFonts w:eastAsia="Times New Roman"/>
                <w:b/>
                <w:bCs/>
                <w:color w:val="000000"/>
                <w:sz w:val="20"/>
                <w:lang w:eastAsia="en-US"/>
              </w:rPr>
              <w:t>Low</w:t>
            </w:r>
            <w:r>
              <w:rPr>
                <w:rFonts w:eastAsia="Times New Roman"/>
                <w:b/>
                <w:bCs/>
                <w:color w:val="000000"/>
                <w:sz w:val="20"/>
                <w:lang w:eastAsia="en-US"/>
              </w:rPr>
              <w:t xml:space="preserve"> Votes</w:t>
            </w:r>
          </w:p>
        </w:tc>
        <w:tc>
          <w:tcPr>
            <w:tcW w:w="1300" w:type="dxa"/>
            <w:tcBorders>
              <w:bottom w:val="single" w:sz="12" w:space="0" w:color="auto"/>
            </w:tcBorders>
            <w:shd w:val="clear" w:color="auto" w:fill="D9D9D9" w:themeFill="background1" w:themeFillShade="D9"/>
            <w:noWrap/>
            <w:hideMark/>
          </w:tcPr>
          <w:p w14:paraId="4AC4E5B8" w14:textId="77777777" w:rsidR="00AF5156" w:rsidRPr="005257A0" w:rsidRDefault="00AF5156" w:rsidP="00AF5156">
            <w:pPr>
              <w:spacing w:before="120" w:after="120"/>
              <w:jc w:val="center"/>
              <w:rPr>
                <w:rFonts w:eastAsia="Times New Roman"/>
                <w:b/>
                <w:bCs/>
                <w:color w:val="000000"/>
                <w:sz w:val="20"/>
                <w:lang w:eastAsia="en-US"/>
              </w:rPr>
            </w:pPr>
            <w:r w:rsidRPr="005257A0">
              <w:rPr>
                <w:rFonts w:eastAsia="Times New Roman"/>
                <w:b/>
                <w:bCs/>
                <w:color w:val="000000"/>
                <w:sz w:val="20"/>
                <w:lang w:eastAsia="en-US"/>
              </w:rPr>
              <w:t>Borda Score</w:t>
            </w:r>
          </w:p>
        </w:tc>
        <w:tc>
          <w:tcPr>
            <w:tcW w:w="1547" w:type="dxa"/>
            <w:tcBorders>
              <w:bottom w:val="single" w:sz="12" w:space="0" w:color="auto"/>
            </w:tcBorders>
            <w:shd w:val="clear" w:color="auto" w:fill="D9D9D9" w:themeFill="background1" w:themeFillShade="D9"/>
          </w:tcPr>
          <w:p w14:paraId="15D63D40" w14:textId="445ED601" w:rsidR="00AF5156" w:rsidRPr="005257A0" w:rsidRDefault="00AF5156" w:rsidP="00AF5156">
            <w:pPr>
              <w:spacing w:before="120" w:after="120"/>
              <w:jc w:val="center"/>
              <w:rPr>
                <w:rFonts w:eastAsia="Times New Roman"/>
                <w:b/>
                <w:bCs/>
                <w:color w:val="000000"/>
                <w:sz w:val="20"/>
                <w:lang w:eastAsia="en-US"/>
              </w:rPr>
            </w:pPr>
            <w:r>
              <w:rPr>
                <w:rFonts w:eastAsia="Times New Roman"/>
                <w:b/>
                <w:bCs/>
                <w:color w:val="000000"/>
                <w:sz w:val="20"/>
                <w:lang w:eastAsia="en-US"/>
              </w:rPr>
              <w:t>Category</w:t>
            </w:r>
          </w:p>
        </w:tc>
      </w:tr>
      <w:tr w:rsidR="00AF5156" w:rsidRPr="005257A0" w14:paraId="2D1444F3" w14:textId="56F8779F" w:rsidTr="002D47FF">
        <w:trPr>
          <w:trHeight w:val="288"/>
        </w:trPr>
        <w:tc>
          <w:tcPr>
            <w:tcW w:w="1967" w:type="dxa"/>
            <w:tcBorders>
              <w:top w:val="single" w:sz="12" w:space="0" w:color="auto"/>
              <w:bottom w:val="single" w:sz="4" w:space="0" w:color="auto"/>
            </w:tcBorders>
            <w:shd w:val="clear" w:color="auto" w:fill="C2D69B" w:themeFill="accent3" w:themeFillTint="99"/>
            <w:noWrap/>
            <w:vAlign w:val="bottom"/>
            <w:hideMark/>
          </w:tcPr>
          <w:p w14:paraId="6855B3EA" w14:textId="77777777" w:rsidR="00AF5156" w:rsidRPr="005257A0" w:rsidRDefault="00AF5156" w:rsidP="00AF5156">
            <w:pPr>
              <w:jc w:val="center"/>
              <w:rPr>
                <w:rFonts w:eastAsia="Times New Roman"/>
                <w:color w:val="000000"/>
                <w:sz w:val="20"/>
                <w:lang w:eastAsia="en-US"/>
              </w:rPr>
            </w:pPr>
            <w:r w:rsidRPr="002D47FF">
              <w:rPr>
                <w:rFonts w:eastAsia="Times New Roman"/>
                <w:color w:val="000000"/>
                <w:sz w:val="20"/>
                <w:lang w:eastAsia="en-US"/>
              </w:rPr>
              <w:t>R04</w:t>
            </w:r>
          </w:p>
        </w:tc>
        <w:tc>
          <w:tcPr>
            <w:tcW w:w="960" w:type="dxa"/>
            <w:tcBorders>
              <w:top w:val="single" w:sz="12" w:space="0" w:color="auto"/>
              <w:bottom w:val="single" w:sz="4" w:space="0" w:color="auto"/>
            </w:tcBorders>
            <w:shd w:val="clear" w:color="auto" w:fill="auto"/>
            <w:noWrap/>
            <w:vAlign w:val="bottom"/>
            <w:hideMark/>
          </w:tcPr>
          <w:p w14:paraId="3AE3F6F1"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18</w:t>
            </w:r>
          </w:p>
        </w:tc>
        <w:tc>
          <w:tcPr>
            <w:tcW w:w="1061" w:type="dxa"/>
            <w:tcBorders>
              <w:top w:val="single" w:sz="12" w:space="0" w:color="auto"/>
              <w:bottom w:val="single" w:sz="4" w:space="0" w:color="auto"/>
            </w:tcBorders>
            <w:shd w:val="clear" w:color="auto" w:fill="auto"/>
            <w:noWrap/>
            <w:vAlign w:val="bottom"/>
            <w:hideMark/>
          </w:tcPr>
          <w:p w14:paraId="56855AB5"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6</w:t>
            </w:r>
          </w:p>
        </w:tc>
        <w:tc>
          <w:tcPr>
            <w:tcW w:w="960" w:type="dxa"/>
            <w:tcBorders>
              <w:top w:val="single" w:sz="12" w:space="0" w:color="auto"/>
              <w:bottom w:val="single" w:sz="4" w:space="0" w:color="auto"/>
            </w:tcBorders>
            <w:shd w:val="clear" w:color="auto" w:fill="auto"/>
            <w:noWrap/>
            <w:vAlign w:val="bottom"/>
            <w:hideMark/>
          </w:tcPr>
          <w:p w14:paraId="54F5C5D1"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w:t>
            </w:r>
          </w:p>
        </w:tc>
        <w:tc>
          <w:tcPr>
            <w:tcW w:w="1300" w:type="dxa"/>
            <w:tcBorders>
              <w:top w:val="single" w:sz="12" w:space="0" w:color="auto"/>
              <w:left w:val="nil"/>
              <w:bottom w:val="single" w:sz="4" w:space="0" w:color="auto"/>
              <w:right w:val="single" w:sz="4" w:space="0" w:color="auto"/>
            </w:tcBorders>
            <w:shd w:val="clear" w:color="auto" w:fill="auto"/>
            <w:noWrap/>
            <w:vAlign w:val="bottom"/>
            <w:hideMark/>
          </w:tcPr>
          <w:p w14:paraId="73B2CAA0" w14:textId="77777777" w:rsidR="00AF5156" w:rsidRPr="005257A0" w:rsidRDefault="00AF5156" w:rsidP="00AF5156">
            <w:pPr>
              <w:jc w:val="center"/>
              <w:rPr>
                <w:rFonts w:eastAsia="Times New Roman"/>
                <w:color w:val="000000"/>
                <w:sz w:val="20"/>
                <w:lang w:eastAsia="en-US"/>
              </w:rPr>
            </w:pPr>
            <w:r>
              <w:rPr>
                <w:rFonts w:ascii="Calibri" w:hAnsi="Calibri" w:cs="Calibri"/>
                <w:color w:val="000000"/>
                <w:szCs w:val="22"/>
              </w:rPr>
              <w:t>67</w:t>
            </w:r>
          </w:p>
        </w:tc>
        <w:tc>
          <w:tcPr>
            <w:tcW w:w="1547" w:type="dxa"/>
            <w:vMerge w:val="restart"/>
            <w:tcBorders>
              <w:top w:val="single" w:sz="12" w:space="0" w:color="auto"/>
              <w:left w:val="single" w:sz="4" w:space="0" w:color="auto"/>
              <w:right w:val="single" w:sz="4" w:space="0" w:color="auto"/>
            </w:tcBorders>
            <w:vAlign w:val="center"/>
          </w:tcPr>
          <w:p w14:paraId="1511F185" w14:textId="4B684A3E" w:rsidR="00AF5156" w:rsidRDefault="00AF5156" w:rsidP="00AF5156">
            <w:pPr>
              <w:jc w:val="center"/>
              <w:rPr>
                <w:rFonts w:ascii="Calibri" w:hAnsi="Calibri" w:cs="Calibri"/>
                <w:color w:val="000000"/>
                <w:szCs w:val="22"/>
              </w:rPr>
            </w:pPr>
            <w:r w:rsidRPr="005257A0">
              <w:rPr>
                <w:rFonts w:eastAsia="Times New Roman"/>
                <w:color w:val="000000"/>
                <w:sz w:val="20"/>
                <w:lang w:eastAsia="en-US"/>
              </w:rPr>
              <w:t>A</w:t>
            </w:r>
          </w:p>
        </w:tc>
      </w:tr>
      <w:tr w:rsidR="00AF5156" w:rsidRPr="005257A0" w14:paraId="532CFF92" w14:textId="6C6B3E3A" w:rsidTr="002D47FF">
        <w:trPr>
          <w:trHeight w:val="288"/>
        </w:trPr>
        <w:tc>
          <w:tcPr>
            <w:tcW w:w="1967" w:type="dxa"/>
            <w:tcBorders>
              <w:top w:val="single" w:sz="4" w:space="0" w:color="auto"/>
            </w:tcBorders>
            <w:shd w:val="clear" w:color="auto" w:fill="FABF8F" w:themeFill="accent6" w:themeFillTint="99"/>
            <w:noWrap/>
            <w:vAlign w:val="bottom"/>
            <w:hideMark/>
          </w:tcPr>
          <w:p w14:paraId="7DA5FC9C" w14:textId="77777777" w:rsidR="00AF5156" w:rsidRPr="005257A0" w:rsidRDefault="00AF5156" w:rsidP="00AF5156">
            <w:pPr>
              <w:jc w:val="center"/>
              <w:rPr>
                <w:rFonts w:eastAsia="Times New Roman"/>
                <w:color w:val="000000"/>
                <w:sz w:val="20"/>
                <w:lang w:eastAsia="en-US"/>
              </w:rPr>
            </w:pPr>
            <w:r w:rsidRPr="002D47FF">
              <w:rPr>
                <w:rFonts w:eastAsia="Times New Roman"/>
                <w:color w:val="000000"/>
                <w:sz w:val="20"/>
                <w:lang w:eastAsia="en-US"/>
              </w:rPr>
              <w:t>R07</w:t>
            </w:r>
          </w:p>
        </w:tc>
        <w:tc>
          <w:tcPr>
            <w:tcW w:w="960" w:type="dxa"/>
            <w:tcBorders>
              <w:top w:val="single" w:sz="4" w:space="0" w:color="auto"/>
            </w:tcBorders>
            <w:shd w:val="clear" w:color="auto" w:fill="auto"/>
            <w:noWrap/>
            <w:vAlign w:val="bottom"/>
            <w:hideMark/>
          </w:tcPr>
          <w:p w14:paraId="63D8E0CF"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19</w:t>
            </w:r>
          </w:p>
        </w:tc>
        <w:tc>
          <w:tcPr>
            <w:tcW w:w="1061" w:type="dxa"/>
            <w:tcBorders>
              <w:top w:val="single" w:sz="4" w:space="0" w:color="auto"/>
            </w:tcBorders>
            <w:shd w:val="clear" w:color="auto" w:fill="auto"/>
            <w:noWrap/>
            <w:vAlign w:val="bottom"/>
            <w:hideMark/>
          </w:tcPr>
          <w:p w14:paraId="12355405"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4</w:t>
            </w:r>
          </w:p>
        </w:tc>
        <w:tc>
          <w:tcPr>
            <w:tcW w:w="960" w:type="dxa"/>
            <w:tcBorders>
              <w:top w:val="single" w:sz="4" w:space="0" w:color="auto"/>
            </w:tcBorders>
            <w:shd w:val="clear" w:color="auto" w:fill="auto"/>
            <w:noWrap/>
            <w:vAlign w:val="bottom"/>
            <w:hideMark/>
          </w:tcPr>
          <w:p w14:paraId="22E51018"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48A73F1C" w14:textId="77777777" w:rsidR="00AF5156" w:rsidRPr="005257A0" w:rsidRDefault="00AF5156" w:rsidP="00AF5156">
            <w:pPr>
              <w:jc w:val="center"/>
              <w:rPr>
                <w:rFonts w:eastAsia="Times New Roman"/>
                <w:color w:val="000000"/>
                <w:sz w:val="20"/>
                <w:lang w:eastAsia="en-US"/>
              </w:rPr>
            </w:pPr>
            <w:r>
              <w:rPr>
                <w:rFonts w:ascii="Calibri" w:hAnsi="Calibri" w:cs="Calibri"/>
                <w:color w:val="000000"/>
                <w:szCs w:val="22"/>
              </w:rPr>
              <w:t>66</w:t>
            </w:r>
          </w:p>
        </w:tc>
        <w:tc>
          <w:tcPr>
            <w:tcW w:w="1547" w:type="dxa"/>
            <w:vMerge/>
            <w:tcBorders>
              <w:left w:val="single" w:sz="4" w:space="0" w:color="auto"/>
              <w:right w:val="single" w:sz="4" w:space="0" w:color="auto"/>
            </w:tcBorders>
            <w:vAlign w:val="center"/>
          </w:tcPr>
          <w:p w14:paraId="693F18C6" w14:textId="77777777" w:rsidR="00AF5156" w:rsidRDefault="00AF5156" w:rsidP="00AF5156">
            <w:pPr>
              <w:jc w:val="center"/>
              <w:rPr>
                <w:rFonts w:ascii="Calibri" w:hAnsi="Calibri" w:cs="Calibri"/>
                <w:color w:val="000000"/>
                <w:szCs w:val="22"/>
              </w:rPr>
            </w:pPr>
          </w:p>
        </w:tc>
      </w:tr>
      <w:tr w:rsidR="00AF5156" w:rsidRPr="005257A0" w14:paraId="53B11CC1" w14:textId="34A65EBD" w:rsidTr="002D47FF">
        <w:trPr>
          <w:trHeight w:val="288"/>
        </w:trPr>
        <w:tc>
          <w:tcPr>
            <w:tcW w:w="1967" w:type="dxa"/>
            <w:shd w:val="clear" w:color="auto" w:fill="C2D69B" w:themeFill="accent3" w:themeFillTint="99"/>
            <w:noWrap/>
            <w:vAlign w:val="bottom"/>
            <w:hideMark/>
          </w:tcPr>
          <w:p w14:paraId="00555B2F" w14:textId="77777777" w:rsidR="00AF5156" w:rsidRPr="005257A0" w:rsidRDefault="00AF5156" w:rsidP="00AF5156">
            <w:pPr>
              <w:jc w:val="center"/>
              <w:rPr>
                <w:rFonts w:eastAsia="Times New Roman"/>
                <w:color w:val="000000"/>
                <w:sz w:val="20"/>
                <w:lang w:eastAsia="en-US"/>
              </w:rPr>
            </w:pPr>
            <w:r w:rsidRPr="002D47FF">
              <w:rPr>
                <w:rFonts w:eastAsia="Times New Roman"/>
                <w:color w:val="000000"/>
                <w:sz w:val="20"/>
                <w:lang w:eastAsia="en-US"/>
              </w:rPr>
              <w:t>R23</w:t>
            </w:r>
          </w:p>
        </w:tc>
        <w:tc>
          <w:tcPr>
            <w:tcW w:w="960" w:type="dxa"/>
            <w:shd w:val="clear" w:color="auto" w:fill="auto"/>
            <w:noWrap/>
            <w:vAlign w:val="bottom"/>
            <w:hideMark/>
          </w:tcPr>
          <w:p w14:paraId="6597D710"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17</w:t>
            </w:r>
          </w:p>
        </w:tc>
        <w:tc>
          <w:tcPr>
            <w:tcW w:w="1061" w:type="dxa"/>
            <w:shd w:val="clear" w:color="auto" w:fill="auto"/>
            <w:noWrap/>
            <w:vAlign w:val="bottom"/>
            <w:hideMark/>
          </w:tcPr>
          <w:p w14:paraId="0D227B7A"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7</w:t>
            </w:r>
          </w:p>
        </w:tc>
        <w:tc>
          <w:tcPr>
            <w:tcW w:w="960" w:type="dxa"/>
            <w:shd w:val="clear" w:color="auto" w:fill="auto"/>
            <w:noWrap/>
            <w:vAlign w:val="bottom"/>
            <w:hideMark/>
          </w:tcPr>
          <w:p w14:paraId="7EE7A014"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6F51847" w14:textId="77777777" w:rsidR="00AF5156" w:rsidRPr="005257A0" w:rsidRDefault="00AF5156" w:rsidP="00AF5156">
            <w:pPr>
              <w:jc w:val="center"/>
              <w:rPr>
                <w:rFonts w:eastAsia="Times New Roman"/>
                <w:color w:val="000000"/>
                <w:sz w:val="20"/>
                <w:lang w:eastAsia="en-US"/>
              </w:rPr>
            </w:pPr>
            <w:r>
              <w:rPr>
                <w:rFonts w:ascii="Calibri" w:hAnsi="Calibri" w:cs="Calibri"/>
                <w:color w:val="000000"/>
                <w:szCs w:val="22"/>
              </w:rPr>
              <w:t>66</w:t>
            </w:r>
          </w:p>
        </w:tc>
        <w:tc>
          <w:tcPr>
            <w:tcW w:w="1547" w:type="dxa"/>
            <w:vMerge/>
            <w:tcBorders>
              <w:left w:val="single" w:sz="4" w:space="0" w:color="auto"/>
              <w:bottom w:val="single" w:sz="4" w:space="0" w:color="auto"/>
              <w:right w:val="single" w:sz="4" w:space="0" w:color="auto"/>
            </w:tcBorders>
            <w:vAlign w:val="center"/>
          </w:tcPr>
          <w:p w14:paraId="6D8D4755" w14:textId="77777777" w:rsidR="00AF5156" w:rsidRDefault="00AF5156" w:rsidP="00AF5156">
            <w:pPr>
              <w:jc w:val="center"/>
              <w:rPr>
                <w:rFonts w:ascii="Calibri" w:hAnsi="Calibri" w:cs="Calibri"/>
                <w:color w:val="000000"/>
                <w:szCs w:val="22"/>
              </w:rPr>
            </w:pPr>
          </w:p>
        </w:tc>
      </w:tr>
      <w:tr w:rsidR="00AF5156" w:rsidRPr="005257A0" w14:paraId="29F891A9" w14:textId="5FF67D71" w:rsidTr="00646A70">
        <w:trPr>
          <w:trHeight w:val="288"/>
        </w:trPr>
        <w:tc>
          <w:tcPr>
            <w:tcW w:w="1967" w:type="dxa"/>
            <w:shd w:val="clear" w:color="auto" w:fill="F2F2F2" w:themeFill="background1" w:themeFillShade="F2"/>
            <w:noWrap/>
            <w:vAlign w:val="bottom"/>
            <w:hideMark/>
          </w:tcPr>
          <w:p w14:paraId="4CA90476"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R05</w:t>
            </w:r>
          </w:p>
        </w:tc>
        <w:tc>
          <w:tcPr>
            <w:tcW w:w="960" w:type="dxa"/>
            <w:shd w:val="clear" w:color="auto" w:fill="F2F2F2" w:themeFill="background1" w:themeFillShade="F2"/>
            <w:noWrap/>
            <w:vAlign w:val="bottom"/>
            <w:hideMark/>
          </w:tcPr>
          <w:p w14:paraId="0B1CEF5F"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13</w:t>
            </w:r>
          </w:p>
        </w:tc>
        <w:tc>
          <w:tcPr>
            <w:tcW w:w="1061" w:type="dxa"/>
            <w:shd w:val="clear" w:color="auto" w:fill="F2F2F2" w:themeFill="background1" w:themeFillShade="F2"/>
            <w:noWrap/>
            <w:vAlign w:val="bottom"/>
            <w:hideMark/>
          </w:tcPr>
          <w:p w14:paraId="7017D471"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10</w:t>
            </w:r>
          </w:p>
        </w:tc>
        <w:tc>
          <w:tcPr>
            <w:tcW w:w="960" w:type="dxa"/>
            <w:shd w:val="clear" w:color="auto" w:fill="F2F2F2" w:themeFill="background1" w:themeFillShade="F2"/>
            <w:noWrap/>
            <w:vAlign w:val="bottom"/>
            <w:hideMark/>
          </w:tcPr>
          <w:p w14:paraId="5D3DF773"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3</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2D4ACF1F" w14:textId="77777777" w:rsidR="00AF5156" w:rsidRPr="005257A0" w:rsidRDefault="00AF5156" w:rsidP="00AF5156">
            <w:pPr>
              <w:jc w:val="center"/>
              <w:rPr>
                <w:rFonts w:eastAsia="Times New Roman"/>
                <w:color w:val="000000"/>
                <w:sz w:val="20"/>
                <w:lang w:eastAsia="en-US"/>
              </w:rPr>
            </w:pPr>
            <w:r>
              <w:rPr>
                <w:rFonts w:ascii="Calibri" w:hAnsi="Calibri" w:cs="Calibri"/>
                <w:color w:val="000000"/>
                <w:szCs w:val="22"/>
              </w:rPr>
              <w:t>62</w:t>
            </w:r>
          </w:p>
        </w:tc>
        <w:tc>
          <w:tcPr>
            <w:tcW w:w="154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E3731BE" w14:textId="0E0E5AAE" w:rsidR="00AF5156" w:rsidRDefault="00AF5156" w:rsidP="00AF5156">
            <w:pPr>
              <w:jc w:val="center"/>
              <w:rPr>
                <w:rFonts w:ascii="Calibri" w:hAnsi="Calibri" w:cs="Calibri"/>
                <w:color w:val="000000"/>
                <w:szCs w:val="22"/>
              </w:rPr>
            </w:pPr>
            <w:r w:rsidRPr="005257A0">
              <w:rPr>
                <w:rFonts w:eastAsia="Times New Roman"/>
                <w:color w:val="000000"/>
                <w:sz w:val="20"/>
                <w:lang w:eastAsia="en-US"/>
              </w:rPr>
              <w:t>B</w:t>
            </w:r>
          </w:p>
        </w:tc>
      </w:tr>
      <w:tr w:rsidR="00AF5156" w:rsidRPr="005257A0" w14:paraId="673A89FA" w14:textId="767C09C1" w:rsidTr="002D47FF">
        <w:trPr>
          <w:trHeight w:val="288"/>
        </w:trPr>
        <w:tc>
          <w:tcPr>
            <w:tcW w:w="1967" w:type="dxa"/>
            <w:shd w:val="clear" w:color="auto" w:fill="C2D69B" w:themeFill="accent3" w:themeFillTint="99"/>
            <w:noWrap/>
            <w:vAlign w:val="bottom"/>
            <w:hideMark/>
          </w:tcPr>
          <w:p w14:paraId="3FF8B91E" w14:textId="77777777" w:rsidR="00AF5156" w:rsidRPr="005257A0" w:rsidRDefault="00AF5156" w:rsidP="00AF5156">
            <w:pPr>
              <w:jc w:val="center"/>
              <w:rPr>
                <w:rFonts w:eastAsia="Times New Roman"/>
                <w:color w:val="000000"/>
                <w:sz w:val="20"/>
                <w:lang w:eastAsia="en-US"/>
              </w:rPr>
            </w:pPr>
            <w:r w:rsidRPr="002D47FF">
              <w:rPr>
                <w:rFonts w:eastAsia="Times New Roman"/>
                <w:color w:val="000000"/>
                <w:sz w:val="20"/>
                <w:lang w:eastAsia="en-US"/>
              </w:rPr>
              <w:t>R06</w:t>
            </w:r>
          </w:p>
        </w:tc>
        <w:tc>
          <w:tcPr>
            <w:tcW w:w="960" w:type="dxa"/>
            <w:shd w:val="clear" w:color="auto" w:fill="F2F2F2" w:themeFill="background1" w:themeFillShade="F2"/>
            <w:noWrap/>
            <w:vAlign w:val="bottom"/>
            <w:hideMark/>
          </w:tcPr>
          <w:p w14:paraId="43E27AA1"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14</w:t>
            </w:r>
          </w:p>
        </w:tc>
        <w:tc>
          <w:tcPr>
            <w:tcW w:w="1061" w:type="dxa"/>
            <w:shd w:val="clear" w:color="auto" w:fill="F2F2F2" w:themeFill="background1" w:themeFillShade="F2"/>
            <w:noWrap/>
            <w:vAlign w:val="bottom"/>
            <w:hideMark/>
          </w:tcPr>
          <w:p w14:paraId="62875E4F"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7</w:t>
            </w:r>
          </w:p>
        </w:tc>
        <w:tc>
          <w:tcPr>
            <w:tcW w:w="960" w:type="dxa"/>
            <w:shd w:val="clear" w:color="auto" w:fill="F2F2F2" w:themeFill="background1" w:themeFillShade="F2"/>
            <w:noWrap/>
            <w:vAlign w:val="bottom"/>
            <w:hideMark/>
          </w:tcPr>
          <w:p w14:paraId="7E39E525"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5</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0E18C497" w14:textId="77777777" w:rsidR="00AF5156" w:rsidRPr="005257A0" w:rsidRDefault="00AF5156" w:rsidP="00AF5156">
            <w:pPr>
              <w:jc w:val="center"/>
              <w:rPr>
                <w:rFonts w:eastAsia="Times New Roman"/>
                <w:color w:val="000000"/>
                <w:sz w:val="20"/>
                <w:lang w:eastAsia="en-US"/>
              </w:rPr>
            </w:pPr>
            <w:r>
              <w:rPr>
                <w:rFonts w:ascii="Calibri" w:hAnsi="Calibri" w:cs="Calibri"/>
                <w:color w:val="000000"/>
                <w:szCs w:val="22"/>
              </w:rPr>
              <w:t>61</w:t>
            </w:r>
          </w:p>
        </w:tc>
        <w:tc>
          <w:tcPr>
            <w:tcW w:w="1547" w:type="dxa"/>
            <w:vMerge/>
            <w:tcBorders>
              <w:left w:val="single" w:sz="4" w:space="0" w:color="auto"/>
              <w:right w:val="single" w:sz="4" w:space="0" w:color="auto"/>
            </w:tcBorders>
            <w:shd w:val="clear" w:color="auto" w:fill="F2F2F2" w:themeFill="background1" w:themeFillShade="F2"/>
            <w:vAlign w:val="center"/>
          </w:tcPr>
          <w:p w14:paraId="0F8F391D" w14:textId="77777777" w:rsidR="00AF5156" w:rsidRDefault="00AF5156" w:rsidP="00AF5156">
            <w:pPr>
              <w:jc w:val="center"/>
              <w:rPr>
                <w:rFonts w:ascii="Calibri" w:hAnsi="Calibri" w:cs="Calibri"/>
                <w:color w:val="000000"/>
                <w:szCs w:val="22"/>
              </w:rPr>
            </w:pPr>
          </w:p>
        </w:tc>
      </w:tr>
      <w:tr w:rsidR="00AF5156" w:rsidRPr="005257A0" w14:paraId="4FCDBFBA" w14:textId="048EB4BA" w:rsidTr="00646A70">
        <w:trPr>
          <w:trHeight w:val="288"/>
        </w:trPr>
        <w:tc>
          <w:tcPr>
            <w:tcW w:w="1967" w:type="dxa"/>
            <w:shd w:val="clear" w:color="auto" w:fill="F2F2F2" w:themeFill="background1" w:themeFillShade="F2"/>
            <w:noWrap/>
            <w:vAlign w:val="bottom"/>
            <w:hideMark/>
          </w:tcPr>
          <w:p w14:paraId="4BCC33B5"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R16</w:t>
            </w:r>
          </w:p>
        </w:tc>
        <w:tc>
          <w:tcPr>
            <w:tcW w:w="960" w:type="dxa"/>
            <w:shd w:val="clear" w:color="auto" w:fill="F2F2F2" w:themeFill="background1" w:themeFillShade="F2"/>
            <w:noWrap/>
            <w:vAlign w:val="bottom"/>
            <w:hideMark/>
          </w:tcPr>
          <w:p w14:paraId="73E87234"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13</w:t>
            </w:r>
          </w:p>
        </w:tc>
        <w:tc>
          <w:tcPr>
            <w:tcW w:w="1061" w:type="dxa"/>
            <w:shd w:val="clear" w:color="auto" w:fill="F2F2F2" w:themeFill="background1" w:themeFillShade="F2"/>
            <w:noWrap/>
            <w:vAlign w:val="bottom"/>
            <w:hideMark/>
          </w:tcPr>
          <w:p w14:paraId="377231B9"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9</w:t>
            </w:r>
          </w:p>
        </w:tc>
        <w:tc>
          <w:tcPr>
            <w:tcW w:w="960" w:type="dxa"/>
            <w:shd w:val="clear" w:color="auto" w:fill="F2F2F2" w:themeFill="background1" w:themeFillShade="F2"/>
            <w:noWrap/>
            <w:vAlign w:val="bottom"/>
            <w:hideMark/>
          </w:tcPr>
          <w:p w14:paraId="32EA515C"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4</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62401761" w14:textId="77777777" w:rsidR="00AF5156" w:rsidRPr="005257A0" w:rsidRDefault="00AF5156" w:rsidP="00AF5156">
            <w:pPr>
              <w:jc w:val="center"/>
              <w:rPr>
                <w:rFonts w:eastAsia="Times New Roman"/>
                <w:color w:val="000000"/>
                <w:sz w:val="20"/>
                <w:lang w:eastAsia="en-US"/>
              </w:rPr>
            </w:pPr>
            <w:r>
              <w:rPr>
                <w:rFonts w:ascii="Calibri" w:hAnsi="Calibri" w:cs="Calibri"/>
                <w:color w:val="000000"/>
                <w:szCs w:val="22"/>
              </w:rPr>
              <w:t>61</w:t>
            </w:r>
          </w:p>
        </w:tc>
        <w:tc>
          <w:tcPr>
            <w:tcW w:w="1547" w:type="dxa"/>
            <w:vMerge/>
            <w:tcBorders>
              <w:left w:val="single" w:sz="4" w:space="0" w:color="auto"/>
              <w:right w:val="single" w:sz="4" w:space="0" w:color="auto"/>
            </w:tcBorders>
            <w:shd w:val="clear" w:color="auto" w:fill="F2F2F2" w:themeFill="background1" w:themeFillShade="F2"/>
            <w:vAlign w:val="center"/>
          </w:tcPr>
          <w:p w14:paraId="71B7F6F8" w14:textId="77777777" w:rsidR="00AF5156" w:rsidRDefault="00AF5156" w:rsidP="00AF5156">
            <w:pPr>
              <w:jc w:val="center"/>
              <w:rPr>
                <w:rFonts w:ascii="Calibri" w:hAnsi="Calibri" w:cs="Calibri"/>
                <w:color w:val="000000"/>
                <w:szCs w:val="22"/>
              </w:rPr>
            </w:pPr>
          </w:p>
        </w:tc>
      </w:tr>
      <w:tr w:rsidR="00AF5156" w:rsidRPr="005257A0" w14:paraId="65875B98" w14:textId="398A7929" w:rsidTr="00646A70">
        <w:trPr>
          <w:trHeight w:val="288"/>
        </w:trPr>
        <w:tc>
          <w:tcPr>
            <w:tcW w:w="1967" w:type="dxa"/>
            <w:shd w:val="clear" w:color="auto" w:fill="F2F2F2" w:themeFill="background1" w:themeFillShade="F2"/>
            <w:noWrap/>
            <w:vAlign w:val="bottom"/>
            <w:hideMark/>
          </w:tcPr>
          <w:p w14:paraId="23411418"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R02</w:t>
            </w:r>
          </w:p>
        </w:tc>
        <w:tc>
          <w:tcPr>
            <w:tcW w:w="960" w:type="dxa"/>
            <w:shd w:val="clear" w:color="auto" w:fill="F2F2F2" w:themeFill="background1" w:themeFillShade="F2"/>
            <w:noWrap/>
            <w:vAlign w:val="bottom"/>
            <w:hideMark/>
          </w:tcPr>
          <w:p w14:paraId="12ACA82D"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11</w:t>
            </w:r>
          </w:p>
        </w:tc>
        <w:tc>
          <w:tcPr>
            <w:tcW w:w="1061" w:type="dxa"/>
            <w:shd w:val="clear" w:color="auto" w:fill="F2F2F2" w:themeFill="background1" w:themeFillShade="F2"/>
            <w:noWrap/>
            <w:vAlign w:val="bottom"/>
            <w:hideMark/>
          </w:tcPr>
          <w:p w14:paraId="04BC7675"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13</w:t>
            </w:r>
          </w:p>
        </w:tc>
        <w:tc>
          <w:tcPr>
            <w:tcW w:w="960" w:type="dxa"/>
            <w:shd w:val="clear" w:color="auto" w:fill="F2F2F2" w:themeFill="background1" w:themeFillShade="F2"/>
            <w:noWrap/>
            <w:vAlign w:val="bottom"/>
            <w:hideMark/>
          </w:tcPr>
          <w:p w14:paraId="4D190B25"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2</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54CD5D76" w14:textId="77777777" w:rsidR="00AF5156" w:rsidRPr="005257A0" w:rsidRDefault="00AF5156" w:rsidP="00AF5156">
            <w:pPr>
              <w:jc w:val="center"/>
              <w:rPr>
                <w:rFonts w:eastAsia="Times New Roman"/>
                <w:color w:val="000000"/>
                <w:sz w:val="20"/>
                <w:lang w:eastAsia="en-US"/>
              </w:rPr>
            </w:pPr>
            <w:r>
              <w:rPr>
                <w:rFonts w:ascii="Calibri" w:hAnsi="Calibri" w:cs="Calibri"/>
                <w:color w:val="000000"/>
                <w:szCs w:val="22"/>
              </w:rPr>
              <w:t>61</w:t>
            </w:r>
          </w:p>
        </w:tc>
        <w:tc>
          <w:tcPr>
            <w:tcW w:w="1547" w:type="dxa"/>
            <w:vMerge/>
            <w:tcBorders>
              <w:left w:val="single" w:sz="4" w:space="0" w:color="auto"/>
              <w:right w:val="single" w:sz="4" w:space="0" w:color="auto"/>
            </w:tcBorders>
            <w:shd w:val="clear" w:color="auto" w:fill="F2F2F2" w:themeFill="background1" w:themeFillShade="F2"/>
            <w:vAlign w:val="center"/>
          </w:tcPr>
          <w:p w14:paraId="1056F77C" w14:textId="77777777" w:rsidR="00AF5156" w:rsidRDefault="00AF5156" w:rsidP="00AF5156">
            <w:pPr>
              <w:jc w:val="center"/>
              <w:rPr>
                <w:rFonts w:ascii="Calibri" w:hAnsi="Calibri" w:cs="Calibri"/>
                <w:color w:val="000000"/>
                <w:szCs w:val="22"/>
              </w:rPr>
            </w:pPr>
          </w:p>
        </w:tc>
      </w:tr>
      <w:tr w:rsidR="00AF5156" w:rsidRPr="005257A0" w14:paraId="2E292750" w14:textId="7360FE80" w:rsidTr="00646A70">
        <w:trPr>
          <w:trHeight w:val="288"/>
        </w:trPr>
        <w:tc>
          <w:tcPr>
            <w:tcW w:w="1967" w:type="dxa"/>
            <w:shd w:val="clear" w:color="auto" w:fill="F2F2F2" w:themeFill="background1" w:themeFillShade="F2"/>
            <w:noWrap/>
            <w:vAlign w:val="bottom"/>
            <w:hideMark/>
          </w:tcPr>
          <w:p w14:paraId="14D1CD5C"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R27</w:t>
            </w:r>
          </w:p>
        </w:tc>
        <w:tc>
          <w:tcPr>
            <w:tcW w:w="960" w:type="dxa"/>
            <w:shd w:val="clear" w:color="auto" w:fill="F2F2F2" w:themeFill="background1" w:themeFillShade="F2"/>
            <w:noWrap/>
            <w:vAlign w:val="bottom"/>
            <w:hideMark/>
          </w:tcPr>
          <w:p w14:paraId="4FBFEE8E"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14</w:t>
            </w:r>
          </w:p>
        </w:tc>
        <w:tc>
          <w:tcPr>
            <w:tcW w:w="1061" w:type="dxa"/>
            <w:shd w:val="clear" w:color="auto" w:fill="F2F2F2" w:themeFill="background1" w:themeFillShade="F2"/>
            <w:noWrap/>
            <w:vAlign w:val="bottom"/>
            <w:hideMark/>
          </w:tcPr>
          <w:p w14:paraId="112F96E7"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6</w:t>
            </w:r>
          </w:p>
        </w:tc>
        <w:tc>
          <w:tcPr>
            <w:tcW w:w="960" w:type="dxa"/>
            <w:shd w:val="clear" w:color="auto" w:fill="F2F2F2" w:themeFill="background1" w:themeFillShade="F2"/>
            <w:noWrap/>
            <w:vAlign w:val="bottom"/>
            <w:hideMark/>
          </w:tcPr>
          <w:p w14:paraId="69BCE32C"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6</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0E640539" w14:textId="77777777" w:rsidR="00AF5156" w:rsidRPr="005257A0" w:rsidRDefault="00AF5156" w:rsidP="00AF5156">
            <w:pPr>
              <w:jc w:val="center"/>
              <w:rPr>
                <w:rFonts w:eastAsia="Times New Roman"/>
                <w:color w:val="000000"/>
                <w:sz w:val="20"/>
                <w:lang w:eastAsia="en-US"/>
              </w:rPr>
            </w:pPr>
            <w:r>
              <w:rPr>
                <w:rFonts w:ascii="Calibri" w:hAnsi="Calibri" w:cs="Calibri"/>
                <w:color w:val="000000"/>
                <w:szCs w:val="22"/>
              </w:rPr>
              <w:t>60</w:t>
            </w:r>
          </w:p>
        </w:tc>
        <w:tc>
          <w:tcPr>
            <w:tcW w:w="1547" w:type="dxa"/>
            <w:vMerge/>
            <w:tcBorders>
              <w:left w:val="single" w:sz="4" w:space="0" w:color="auto"/>
              <w:right w:val="single" w:sz="4" w:space="0" w:color="auto"/>
            </w:tcBorders>
            <w:shd w:val="clear" w:color="auto" w:fill="F2F2F2" w:themeFill="background1" w:themeFillShade="F2"/>
            <w:vAlign w:val="center"/>
          </w:tcPr>
          <w:p w14:paraId="6B106604" w14:textId="77777777" w:rsidR="00AF5156" w:rsidRDefault="00AF5156" w:rsidP="00AF5156">
            <w:pPr>
              <w:jc w:val="center"/>
              <w:rPr>
                <w:rFonts w:ascii="Calibri" w:hAnsi="Calibri" w:cs="Calibri"/>
                <w:color w:val="000000"/>
                <w:szCs w:val="22"/>
              </w:rPr>
            </w:pPr>
          </w:p>
        </w:tc>
      </w:tr>
      <w:tr w:rsidR="00AF5156" w:rsidRPr="005257A0" w14:paraId="34FCB5C6" w14:textId="6F26887C" w:rsidTr="00646A70">
        <w:trPr>
          <w:trHeight w:val="288"/>
        </w:trPr>
        <w:tc>
          <w:tcPr>
            <w:tcW w:w="1967" w:type="dxa"/>
            <w:shd w:val="clear" w:color="auto" w:fill="F2F2F2" w:themeFill="background1" w:themeFillShade="F2"/>
            <w:noWrap/>
            <w:vAlign w:val="bottom"/>
            <w:hideMark/>
          </w:tcPr>
          <w:p w14:paraId="7BD5E61A"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R01</w:t>
            </w:r>
          </w:p>
        </w:tc>
        <w:tc>
          <w:tcPr>
            <w:tcW w:w="960" w:type="dxa"/>
            <w:shd w:val="clear" w:color="auto" w:fill="F2F2F2" w:themeFill="background1" w:themeFillShade="F2"/>
            <w:noWrap/>
            <w:vAlign w:val="bottom"/>
            <w:hideMark/>
          </w:tcPr>
          <w:p w14:paraId="57E95C92"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13</w:t>
            </w:r>
          </w:p>
        </w:tc>
        <w:tc>
          <w:tcPr>
            <w:tcW w:w="1061" w:type="dxa"/>
            <w:shd w:val="clear" w:color="auto" w:fill="F2F2F2" w:themeFill="background1" w:themeFillShade="F2"/>
            <w:noWrap/>
            <w:vAlign w:val="bottom"/>
            <w:hideMark/>
          </w:tcPr>
          <w:p w14:paraId="2E9120E3"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9</w:t>
            </w:r>
          </w:p>
        </w:tc>
        <w:tc>
          <w:tcPr>
            <w:tcW w:w="960" w:type="dxa"/>
            <w:shd w:val="clear" w:color="auto" w:fill="F2F2F2" w:themeFill="background1" w:themeFillShade="F2"/>
            <w:noWrap/>
            <w:vAlign w:val="bottom"/>
            <w:hideMark/>
          </w:tcPr>
          <w:p w14:paraId="10A761C2"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3</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005E1949" w14:textId="77777777" w:rsidR="00AF5156" w:rsidRPr="005257A0" w:rsidRDefault="00AF5156" w:rsidP="00AF5156">
            <w:pPr>
              <w:jc w:val="center"/>
              <w:rPr>
                <w:rFonts w:eastAsia="Times New Roman"/>
                <w:color w:val="000000"/>
                <w:sz w:val="20"/>
                <w:lang w:eastAsia="en-US"/>
              </w:rPr>
            </w:pPr>
            <w:r>
              <w:rPr>
                <w:rFonts w:ascii="Calibri" w:hAnsi="Calibri" w:cs="Calibri"/>
                <w:color w:val="000000"/>
                <w:szCs w:val="22"/>
              </w:rPr>
              <w:t>60</w:t>
            </w:r>
          </w:p>
        </w:tc>
        <w:tc>
          <w:tcPr>
            <w:tcW w:w="1547" w:type="dxa"/>
            <w:vMerge/>
            <w:tcBorders>
              <w:left w:val="single" w:sz="4" w:space="0" w:color="auto"/>
              <w:right w:val="single" w:sz="4" w:space="0" w:color="auto"/>
            </w:tcBorders>
            <w:shd w:val="clear" w:color="auto" w:fill="F2F2F2" w:themeFill="background1" w:themeFillShade="F2"/>
            <w:vAlign w:val="center"/>
          </w:tcPr>
          <w:p w14:paraId="344EDF94" w14:textId="77777777" w:rsidR="00AF5156" w:rsidRDefault="00AF5156" w:rsidP="00AF5156">
            <w:pPr>
              <w:jc w:val="center"/>
              <w:rPr>
                <w:rFonts w:ascii="Calibri" w:hAnsi="Calibri" w:cs="Calibri"/>
                <w:color w:val="000000"/>
                <w:szCs w:val="22"/>
              </w:rPr>
            </w:pPr>
          </w:p>
        </w:tc>
      </w:tr>
      <w:tr w:rsidR="00AF5156" w:rsidRPr="005257A0" w14:paraId="4D987086" w14:textId="50E40536" w:rsidTr="00646A70">
        <w:trPr>
          <w:trHeight w:val="288"/>
        </w:trPr>
        <w:tc>
          <w:tcPr>
            <w:tcW w:w="1967" w:type="dxa"/>
            <w:shd w:val="clear" w:color="auto" w:fill="F2F2F2" w:themeFill="background1" w:themeFillShade="F2"/>
            <w:noWrap/>
            <w:vAlign w:val="bottom"/>
            <w:hideMark/>
          </w:tcPr>
          <w:p w14:paraId="5DD645DF"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R20</w:t>
            </w:r>
          </w:p>
        </w:tc>
        <w:tc>
          <w:tcPr>
            <w:tcW w:w="960" w:type="dxa"/>
            <w:shd w:val="clear" w:color="auto" w:fill="F2F2F2" w:themeFill="background1" w:themeFillShade="F2"/>
            <w:noWrap/>
            <w:vAlign w:val="bottom"/>
            <w:hideMark/>
          </w:tcPr>
          <w:p w14:paraId="0043552E"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13</w:t>
            </w:r>
          </w:p>
        </w:tc>
        <w:tc>
          <w:tcPr>
            <w:tcW w:w="1061" w:type="dxa"/>
            <w:shd w:val="clear" w:color="auto" w:fill="F2F2F2" w:themeFill="background1" w:themeFillShade="F2"/>
            <w:noWrap/>
            <w:vAlign w:val="bottom"/>
            <w:hideMark/>
          </w:tcPr>
          <w:p w14:paraId="32277F08"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7</w:t>
            </w:r>
          </w:p>
        </w:tc>
        <w:tc>
          <w:tcPr>
            <w:tcW w:w="960" w:type="dxa"/>
            <w:shd w:val="clear" w:color="auto" w:fill="F2F2F2" w:themeFill="background1" w:themeFillShade="F2"/>
            <w:noWrap/>
            <w:vAlign w:val="bottom"/>
            <w:hideMark/>
          </w:tcPr>
          <w:p w14:paraId="30412E06"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5</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F8F756B" w14:textId="77777777" w:rsidR="00AF5156" w:rsidRPr="005257A0" w:rsidRDefault="00AF5156" w:rsidP="00AF5156">
            <w:pPr>
              <w:jc w:val="center"/>
              <w:rPr>
                <w:rFonts w:eastAsia="Times New Roman"/>
                <w:color w:val="000000"/>
                <w:sz w:val="20"/>
                <w:lang w:eastAsia="en-US"/>
              </w:rPr>
            </w:pPr>
            <w:r>
              <w:rPr>
                <w:rFonts w:ascii="Calibri" w:hAnsi="Calibri" w:cs="Calibri"/>
                <w:color w:val="000000"/>
                <w:szCs w:val="22"/>
              </w:rPr>
              <w:t>58</w:t>
            </w:r>
          </w:p>
        </w:tc>
        <w:tc>
          <w:tcPr>
            <w:tcW w:w="1547" w:type="dxa"/>
            <w:vMerge/>
            <w:tcBorders>
              <w:left w:val="single" w:sz="4" w:space="0" w:color="auto"/>
              <w:right w:val="single" w:sz="4" w:space="0" w:color="auto"/>
            </w:tcBorders>
            <w:shd w:val="clear" w:color="auto" w:fill="F2F2F2" w:themeFill="background1" w:themeFillShade="F2"/>
            <w:vAlign w:val="center"/>
          </w:tcPr>
          <w:p w14:paraId="56A8B74A" w14:textId="77777777" w:rsidR="00AF5156" w:rsidRDefault="00AF5156" w:rsidP="00AF5156">
            <w:pPr>
              <w:jc w:val="center"/>
              <w:rPr>
                <w:rFonts w:ascii="Calibri" w:hAnsi="Calibri" w:cs="Calibri"/>
                <w:color w:val="000000"/>
                <w:szCs w:val="22"/>
              </w:rPr>
            </w:pPr>
          </w:p>
        </w:tc>
      </w:tr>
      <w:tr w:rsidR="00AF5156" w:rsidRPr="005257A0" w14:paraId="1D22FF6F" w14:textId="218C8773" w:rsidTr="00646A70">
        <w:trPr>
          <w:trHeight w:val="288"/>
        </w:trPr>
        <w:tc>
          <w:tcPr>
            <w:tcW w:w="1967" w:type="dxa"/>
            <w:shd w:val="clear" w:color="auto" w:fill="F2F2F2" w:themeFill="background1" w:themeFillShade="F2"/>
            <w:noWrap/>
            <w:vAlign w:val="bottom"/>
            <w:hideMark/>
          </w:tcPr>
          <w:p w14:paraId="6C2198AC"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R28</w:t>
            </w:r>
          </w:p>
        </w:tc>
        <w:tc>
          <w:tcPr>
            <w:tcW w:w="960" w:type="dxa"/>
            <w:shd w:val="clear" w:color="auto" w:fill="F2F2F2" w:themeFill="background1" w:themeFillShade="F2"/>
            <w:noWrap/>
            <w:vAlign w:val="bottom"/>
            <w:hideMark/>
          </w:tcPr>
          <w:p w14:paraId="5FEAF013"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12</w:t>
            </w:r>
          </w:p>
        </w:tc>
        <w:tc>
          <w:tcPr>
            <w:tcW w:w="1061" w:type="dxa"/>
            <w:shd w:val="clear" w:color="auto" w:fill="F2F2F2" w:themeFill="background1" w:themeFillShade="F2"/>
            <w:noWrap/>
            <w:vAlign w:val="bottom"/>
            <w:hideMark/>
          </w:tcPr>
          <w:p w14:paraId="5308F0D4"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9</w:t>
            </w:r>
          </w:p>
        </w:tc>
        <w:tc>
          <w:tcPr>
            <w:tcW w:w="960" w:type="dxa"/>
            <w:shd w:val="clear" w:color="auto" w:fill="F2F2F2" w:themeFill="background1" w:themeFillShade="F2"/>
            <w:noWrap/>
            <w:vAlign w:val="bottom"/>
            <w:hideMark/>
          </w:tcPr>
          <w:p w14:paraId="190BCC62"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4</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74AC9D7F" w14:textId="77777777" w:rsidR="00AF5156" w:rsidRPr="005257A0" w:rsidRDefault="00AF5156" w:rsidP="00AF5156">
            <w:pPr>
              <w:jc w:val="center"/>
              <w:rPr>
                <w:rFonts w:eastAsia="Times New Roman"/>
                <w:color w:val="000000"/>
                <w:sz w:val="20"/>
                <w:lang w:eastAsia="en-US"/>
              </w:rPr>
            </w:pPr>
            <w:r>
              <w:rPr>
                <w:rFonts w:ascii="Calibri" w:hAnsi="Calibri" w:cs="Calibri"/>
                <w:color w:val="000000"/>
                <w:szCs w:val="22"/>
              </w:rPr>
              <w:t>58</w:t>
            </w:r>
          </w:p>
        </w:tc>
        <w:tc>
          <w:tcPr>
            <w:tcW w:w="1547" w:type="dxa"/>
            <w:vMerge/>
            <w:tcBorders>
              <w:left w:val="single" w:sz="4" w:space="0" w:color="auto"/>
              <w:right w:val="single" w:sz="4" w:space="0" w:color="auto"/>
            </w:tcBorders>
            <w:shd w:val="clear" w:color="auto" w:fill="F2F2F2" w:themeFill="background1" w:themeFillShade="F2"/>
            <w:vAlign w:val="center"/>
          </w:tcPr>
          <w:p w14:paraId="2734FA08" w14:textId="77777777" w:rsidR="00AF5156" w:rsidRDefault="00AF5156" w:rsidP="00AF5156">
            <w:pPr>
              <w:jc w:val="center"/>
              <w:rPr>
                <w:rFonts w:ascii="Calibri" w:hAnsi="Calibri" w:cs="Calibri"/>
                <w:color w:val="000000"/>
                <w:szCs w:val="22"/>
              </w:rPr>
            </w:pPr>
          </w:p>
        </w:tc>
      </w:tr>
      <w:tr w:rsidR="00AF5156" w:rsidRPr="005257A0" w14:paraId="702A04D3" w14:textId="3668C1AD" w:rsidTr="002D47FF">
        <w:trPr>
          <w:trHeight w:val="288"/>
        </w:trPr>
        <w:tc>
          <w:tcPr>
            <w:tcW w:w="1967" w:type="dxa"/>
            <w:shd w:val="clear" w:color="auto" w:fill="FABF8F" w:themeFill="accent6" w:themeFillTint="99"/>
            <w:noWrap/>
            <w:vAlign w:val="bottom"/>
            <w:hideMark/>
          </w:tcPr>
          <w:p w14:paraId="62AE072F" w14:textId="77777777" w:rsidR="00AF5156" w:rsidRPr="005257A0" w:rsidRDefault="00AF5156" w:rsidP="00AF5156">
            <w:pPr>
              <w:jc w:val="center"/>
              <w:rPr>
                <w:rFonts w:eastAsia="Times New Roman"/>
                <w:color w:val="000000"/>
                <w:sz w:val="20"/>
                <w:lang w:eastAsia="en-US"/>
              </w:rPr>
            </w:pPr>
            <w:r w:rsidRPr="002D47FF">
              <w:rPr>
                <w:rFonts w:eastAsia="Times New Roman"/>
                <w:color w:val="000000"/>
                <w:sz w:val="20"/>
                <w:lang w:eastAsia="en-US"/>
              </w:rPr>
              <w:t>R40</w:t>
            </w:r>
          </w:p>
        </w:tc>
        <w:tc>
          <w:tcPr>
            <w:tcW w:w="960" w:type="dxa"/>
            <w:shd w:val="clear" w:color="auto" w:fill="F2F2F2" w:themeFill="background1" w:themeFillShade="F2"/>
            <w:noWrap/>
            <w:vAlign w:val="bottom"/>
            <w:hideMark/>
          </w:tcPr>
          <w:p w14:paraId="49568950"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12</w:t>
            </w:r>
          </w:p>
        </w:tc>
        <w:tc>
          <w:tcPr>
            <w:tcW w:w="1061" w:type="dxa"/>
            <w:shd w:val="clear" w:color="auto" w:fill="F2F2F2" w:themeFill="background1" w:themeFillShade="F2"/>
            <w:noWrap/>
            <w:vAlign w:val="bottom"/>
            <w:hideMark/>
          </w:tcPr>
          <w:p w14:paraId="17DEA9D7"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9</w:t>
            </w:r>
          </w:p>
        </w:tc>
        <w:tc>
          <w:tcPr>
            <w:tcW w:w="960" w:type="dxa"/>
            <w:shd w:val="clear" w:color="auto" w:fill="F2F2F2" w:themeFill="background1" w:themeFillShade="F2"/>
            <w:noWrap/>
            <w:vAlign w:val="bottom"/>
            <w:hideMark/>
          </w:tcPr>
          <w:p w14:paraId="54266689"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4</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60386FE8" w14:textId="77777777" w:rsidR="00AF5156" w:rsidRPr="005257A0" w:rsidRDefault="00AF5156" w:rsidP="00AF5156">
            <w:pPr>
              <w:jc w:val="center"/>
              <w:rPr>
                <w:rFonts w:eastAsia="Times New Roman"/>
                <w:color w:val="000000"/>
                <w:sz w:val="20"/>
                <w:lang w:eastAsia="en-US"/>
              </w:rPr>
            </w:pPr>
            <w:r>
              <w:rPr>
                <w:rFonts w:ascii="Calibri" w:hAnsi="Calibri" w:cs="Calibri"/>
                <w:color w:val="000000"/>
                <w:szCs w:val="22"/>
              </w:rPr>
              <w:t>58</w:t>
            </w:r>
          </w:p>
        </w:tc>
        <w:tc>
          <w:tcPr>
            <w:tcW w:w="1547" w:type="dxa"/>
            <w:vMerge/>
            <w:tcBorders>
              <w:left w:val="single" w:sz="4" w:space="0" w:color="auto"/>
              <w:right w:val="single" w:sz="4" w:space="0" w:color="auto"/>
            </w:tcBorders>
            <w:shd w:val="clear" w:color="auto" w:fill="F2F2F2" w:themeFill="background1" w:themeFillShade="F2"/>
            <w:vAlign w:val="center"/>
          </w:tcPr>
          <w:p w14:paraId="6BDAC93C" w14:textId="77777777" w:rsidR="00AF5156" w:rsidRDefault="00AF5156" w:rsidP="00AF5156">
            <w:pPr>
              <w:jc w:val="center"/>
              <w:rPr>
                <w:rFonts w:ascii="Calibri" w:hAnsi="Calibri" w:cs="Calibri"/>
                <w:color w:val="000000"/>
                <w:szCs w:val="22"/>
              </w:rPr>
            </w:pPr>
          </w:p>
        </w:tc>
      </w:tr>
      <w:tr w:rsidR="00AF5156" w:rsidRPr="005257A0" w14:paraId="25E2046A" w14:textId="4366F643" w:rsidTr="00646A70">
        <w:trPr>
          <w:trHeight w:val="288"/>
        </w:trPr>
        <w:tc>
          <w:tcPr>
            <w:tcW w:w="1967" w:type="dxa"/>
            <w:shd w:val="clear" w:color="auto" w:fill="F2F2F2" w:themeFill="background1" w:themeFillShade="F2"/>
            <w:noWrap/>
            <w:vAlign w:val="bottom"/>
            <w:hideMark/>
          </w:tcPr>
          <w:p w14:paraId="170801EC"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R19</w:t>
            </w:r>
          </w:p>
        </w:tc>
        <w:tc>
          <w:tcPr>
            <w:tcW w:w="960" w:type="dxa"/>
            <w:shd w:val="clear" w:color="auto" w:fill="F2F2F2" w:themeFill="background1" w:themeFillShade="F2"/>
            <w:noWrap/>
            <w:vAlign w:val="bottom"/>
            <w:hideMark/>
          </w:tcPr>
          <w:p w14:paraId="293E8A89"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11</w:t>
            </w:r>
          </w:p>
        </w:tc>
        <w:tc>
          <w:tcPr>
            <w:tcW w:w="1061" w:type="dxa"/>
            <w:shd w:val="clear" w:color="auto" w:fill="F2F2F2" w:themeFill="background1" w:themeFillShade="F2"/>
            <w:noWrap/>
            <w:vAlign w:val="bottom"/>
            <w:hideMark/>
          </w:tcPr>
          <w:p w14:paraId="5F556E67"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11</w:t>
            </w:r>
          </w:p>
        </w:tc>
        <w:tc>
          <w:tcPr>
            <w:tcW w:w="960" w:type="dxa"/>
            <w:shd w:val="clear" w:color="auto" w:fill="F2F2F2" w:themeFill="background1" w:themeFillShade="F2"/>
            <w:noWrap/>
            <w:vAlign w:val="bottom"/>
            <w:hideMark/>
          </w:tcPr>
          <w:p w14:paraId="6B794DF1"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3</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27AFFF4D" w14:textId="77777777" w:rsidR="00AF5156" w:rsidRPr="005257A0" w:rsidRDefault="00AF5156" w:rsidP="00AF5156">
            <w:pPr>
              <w:jc w:val="center"/>
              <w:rPr>
                <w:rFonts w:eastAsia="Times New Roman"/>
                <w:color w:val="000000"/>
                <w:sz w:val="20"/>
                <w:lang w:eastAsia="en-US"/>
              </w:rPr>
            </w:pPr>
            <w:r>
              <w:rPr>
                <w:rFonts w:ascii="Calibri" w:hAnsi="Calibri" w:cs="Calibri"/>
                <w:color w:val="000000"/>
                <w:szCs w:val="22"/>
              </w:rPr>
              <w:t>58</w:t>
            </w:r>
          </w:p>
        </w:tc>
        <w:tc>
          <w:tcPr>
            <w:tcW w:w="1547" w:type="dxa"/>
            <w:vMerge/>
            <w:tcBorders>
              <w:left w:val="single" w:sz="4" w:space="0" w:color="auto"/>
              <w:right w:val="single" w:sz="4" w:space="0" w:color="auto"/>
            </w:tcBorders>
            <w:shd w:val="clear" w:color="auto" w:fill="F2F2F2" w:themeFill="background1" w:themeFillShade="F2"/>
            <w:vAlign w:val="center"/>
          </w:tcPr>
          <w:p w14:paraId="60023EBB" w14:textId="77777777" w:rsidR="00AF5156" w:rsidRDefault="00AF5156" w:rsidP="00AF5156">
            <w:pPr>
              <w:jc w:val="center"/>
              <w:rPr>
                <w:rFonts w:ascii="Calibri" w:hAnsi="Calibri" w:cs="Calibri"/>
                <w:color w:val="000000"/>
                <w:szCs w:val="22"/>
              </w:rPr>
            </w:pPr>
          </w:p>
        </w:tc>
      </w:tr>
      <w:tr w:rsidR="00AF5156" w:rsidRPr="005257A0" w14:paraId="6F32FDE4" w14:textId="512D7655" w:rsidTr="00646A70">
        <w:trPr>
          <w:trHeight w:val="288"/>
        </w:trPr>
        <w:tc>
          <w:tcPr>
            <w:tcW w:w="1967" w:type="dxa"/>
            <w:shd w:val="clear" w:color="auto" w:fill="F2F2F2" w:themeFill="background1" w:themeFillShade="F2"/>
            <w:noWrap/>
            <w:vAlign w:val="bottom"/>
            <w:hideMark/>
          </w:tcPr>
          <w:p w14:paraId="6AD02F5F"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R21</w:t>
            </w:r>
          </w:p>
        </w:tc>
        <w:tc>
          <w:tcPr>
            <w:tcW w:w="960" w:type="dxa"/>
            <w:shd w:val="clear" w:color="auto" w:fill="F2F2F2" w:themeFill="background1" w:themeFillShade="F2"/>
            <w:noWrap/>
            <w:vAlign w:val="bottom"/>
            <w:hideMark/>
          </w:tcPr>
          <w:p w14:paraId="4FB639AF"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12</w:t>
            </w:r>
          </w:p>
        </w:tc>
        <w:tc>
          <w:tcPr>
            <w:tcW w:w="1061" w:type="dxa"/>
            <w:shd w:val="clear" w:color="auto" w:fill="F2F2F2" w:themeFill="background1" w:themeFillShade="F2"/>
            <w:noWrap/>
            <w:vAlign w:val="bottom"/>
            <w:hideMark/>
          </w:tcPr>
          <w:p w14:paraId="1CCFD740"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7</w:t>
            </w:r>
          </w:p>
        </w:tc>
        <w:tc>
          <w:tcPr>
            <w:tcW w:w="960" w:type="dxa"/>
            <w:shd w:val="clear" w:color="auto" w:fill="F2F2F2" w:themeFill="background1" w:themeFillShade="F2"/>
            <w:noWrap/>
            <w:vAlign w:val="bottom"/>
            <w:hideMark/>
          </w:tcPr>
          <w:p w14:paraId="6C818292"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7</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3F7B1074" w14:textId="77777777" w:rsidR="00AF5156" w:rsidRPr="005257A0" w:rsidRDefault="00AF5156" w:rsidP="00AF5156">
            <w:pPr>
              <w:jc w:val="center"/>
              <w:rPr>
                <w:rFonts w:eastAsia="Times New Roman"/>
                <w:color w:val="000000"/>
                <w:sz w:val="20"/>
                <w:lang w:eastAsia="en-US"/>
              </w:rPr>
            </w:pPr>
            <w:r>
              <w:rPr>
                <w:rFonts w:ascii="Calibri" w:hAnsi="Calibri" w:cs="Calibri"/>
                <w:color w:val="000000"/>
                <w:szCs w:val="22"/>
              </w:rPr>
              <w:t>57</w:t>
            </w:r>
          </w:p>
        </w:tc>
        <w:tc>
          <w:tcPr>
            <w:tcW w:w="1547" w:type="dxa"/>
            <w:vMerge/>
            <w:tcBorders>
              <w:left w:val="single" w:sz="4" w:space="0" w:color="auto"/>
              <w:right w:val="single" w:sz="4" w:space="0" w:color="auto"/>
            </w:tcBorders>
            <w:shd w:val="clear" w:color="auto" w:fill="F2F2F2" w:themeFill="background1" w:themeFillShade="F2"/>
            <w:vAlign w:val="center"/>
          </w:tcPr>
          <w:p w14:paraId="58217205" w14:textId="77777777" w:rsidR="00AF5156" w:rsidRDefault="00AF5156" w:rsidP="00AF5156">
            <w:pPr>
              <w:jc w:val="center"/>
              <w:rPr>
                <w:rFonts w:ascii="Calibri" w:hAnsi="Calibri" w:cs="Calibri"/>
                <w:color w:val="000000"/>
                <w:szCs w:val="22"/>
              </w:rPr>
            </w:pPr>
          </w:p>
        </w:tc>
      </w:tr>
      <w:tr w:rsidR="00AF5156" w:rsidRPr="005257A0" w14:paraId="68F6B575" w14:textId="16200D2D" w:rsidTr="002D47FF">
        <w:trPr>
          <w:trHeight w:val="288"/>
        </w:trPr>
        <w:tc>
          <w:tcPr>
            <w:tcW w:w="1967" w:type="dxa"/>
            <w:shd w:val="clear" w:color="auto" w:fill="FABF8F" w:themeFill="accent6" w:themeFillTint="99"/>
            <w:noWrap/>
            <w:vAlign w:val="bottom"/>
            <w:hideMark/>
          </w:tcPr>
          <w:p w14:paraId="1243062C" w14:textId="77777777" w:rsidR="00AF5156" w:rsidRPr="005257A0" w:rsidRDefault="00AF5156" w:rsidP="00AF5156">
            <w:pPr>
              <w:jc w:val="center"/>
              <w:rPr>
                <w:rFonts w:eastAsia="Times New Roman"/>
                <w:color w:val="000000"/>
                <w:sz w:val="20"/>
                <w:lang w:eastAsia="en-US"/>
              </w:rPr>
            </w:pPr>
            <w:r w:rsidRPr="002D47FF">
              <w:rPr>
                <w:rFonts w:eastAsia="Times New Roman"/>
                <w:color w:val="000000"/>
                <w:sz w:val="20"/>
                <w:lang w:eastAsia="en-US"/>
              </w:rPr>
              <w:t>R31</w:t>
            </w:r>
          </w:p>
        </w:tc>
        <w:tc>
          <w:tcPr>
            <w:tcW w:w="960" w:type="dxa"/>
            <w:shd w:val="clear" w:color="auto" w:fill="F2F2F2" w:themeFill="background1" w:themeFillShade="F2"/>
            <w:noWrap/>
            <w:vAlign w:val="bottom"/>
            <w:hideMark/>
          </w:tcPr>
          <w:p w14:paraId="305080A8"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11</w:t>
            </w:r>
          </w:p>
        </w:tc>
        <w:tc>
          <w:tcPr>
            <w:tcW w:w="1061" w:type="dxa"/>
            <w:shd w:val="clear" w:color="auto" w:fill="F2F2F2" w:themeFill="background1" w:themeFillShade="F2"/>
            <w:noWrap/>
            <w:vAlign w:val="bottom"/>
            <w:hideMark/>
          </w:tcPr>
          <w:p w14:paraId="1B646920"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10</w:t>
            </w:r>
          </w:p>
        </w:tc>
        <w:tc>
          <w:tcPr>
            <w:tcW w:w="960" w:type="dxa"/>
            <w:shd w:val="clear" w:color="auto" w:fill="F2F2F2" w:themeFill="background1" w:themeFillShade="F2"/>
            <w:noWrap/>
            <w:vAlign w:val="bottom"/>
            <w:hideMark/>
          </w:tcPr>
          <w:p w14:paraId="7621BE06"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4</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0783DE60" w14:textId="77777777" w:rsidR="00AF5156" w:rsidRPr="005257A0" w:rsidRDefault="00AF5156" w:rsidP="00AF5156">
            <w:pPr>
              <w:jc w:val="center"/>
              <w:rPr>
                <w:rFonts w:eastAsia="Times New Roman"/>
                <w:color w:val="000000"/>
                <w:sz w:val="20"/>
                <w:lang w:eastAsia="en-US"/>
              </w:rPr>
            </w:pPr>
            <w:r>
              <w:rPr>
                <w:rFonts w:ascii="Calibri" w:hAnsi="Calibri" w:cs="Calibri"/>
                <w:color w:val="000000"/>
                <w:szCs w:val="22"/>
              </w:rPr>
              <w:t>57</w:t>
            </w:r>
          </w:p>
        </w:tc>
        <w:tc>
          <w:tcPr>
            <w:tcW w:w="1547"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66A62547" w14:textId="77777777" w:rsidR="00AF5156" w:rsidRDefault="00AF5156" w:rsidP="00AF5156">
            <w:pPr>
              <w:jc w:val="center"/>
              <w:rPr>
                <w:rFonts w:ascii="Calibri" w:hAnsi="Calibri" w:cs="Calibri"/>
                <w:color w:val="000000"/>
                <w:szCs w:val="22"/>
              </w:rPr>
            </w:pPr>
          </w:p>
        </w:tc>
      </w:tr>
      <w:tr w:rsidR="00AF5156" w:rsidRPr="005257A0" w14:paraId="3C445EB2" w14:textId="0EF0FBE6" w:rsidTr="0055631E">
        <w:trPr>
          <w:trHeight w:val="288"/>
        </w:trPr>
        <w:tc>
          <w:tcPr>
            <w:tcW w:w="1967" w:type="dxa"/>
            <w:shd w:val="clear" w:color="auto" w:fill="auto"/>
            <w:noWrap/>
            <w:vAlign w:val="bottom"/>
            <w:hideMark/>
          </w:tcPr>
          <w:p w14:paraId="5B9C2644"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R14</w:t>
            </w:r>
          </w:p>
        </w:tc>
        <w:tc>
          <w:tcPr>
            <w:tcW w:w="960" w:type="dxa"/>
            <w:shd w:val="clear" w:color="auto" w:fill="auto"/>
            <w:noWrap/>
            <w:vAlign w:val="bottom"/>
            <w:hideMark/>
          </w:tcPr>
          <w:p w14:paraId="1074D39A"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9</w:t>
            </w:r>
          </w:p>
        </w:tc>
        <w:tc>
          <w:tcPr>
            <w:tcW w:w="1061" w:type="dxa"/>
            <w:shd w:val="clear" w:color="auto" w:fill="auto"/>
            <w:noWrap/>
            <w:vAlign w:val="bottom"/>
            <w:hideMark/>
          </w:tcPr>
          <w:p w14:paraId="6CE666B3"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11</w:t>
            </w:r>
          </w:p>
        </w:tc>
        <w:tc>
          <w:tcPr>
            <w:tcW w:w="960" w:type="dxa"/>
            <w:shd w:val="clear" w:color="auto" w:fill="auto"/>
            <w:noWrap/>
            <w:vAlign w:val="bottom"/>
            <w:hideMark/>
          </w:tcPr>
          <w:p w14:paraId="5DFEE43A"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6</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6866103" w14:textId="77777777" w:rsidR="00AF5156" w:rsidRPr="005257A0" w:rsidRDefault="00AF5156" w:rsidP="00AF5156">
            <w:pPr>
              <w:jc w:val="center"/>
              <w:rPr>
                <w:rFonts w:eastAsia="Times New Roman"/>
                <w:color w:val="000000"/>
                <w:sz w:val="20"/>
                <w:lang w:eastAsia="en-US"/>
              </w:rPr>
            </w:pPr>
            <w:r>
              <w:rPr>
                <w:rFonts w:ascii="Calibri" w:hAnsi="Calibri" w:cs="Calibri"/>
                <w:color w:val="000000"/>
                <w:szCs w:val="22"/>
              </w:rPr>
              <w:t>55</w:t>
            </w:r>
          </w:p>
        </w:tc>
        <w:tc>
          <w:tcPr>
            <w:tcW w:w="1547" w:type="dxa"/>
            <w:vMerge w:val="restart"/>
            <w:tcBorders>
              <w:top w:val="single" w:sz="4" w:space="0" w:color="auto"/>
              <w:left w:val="single" w:sz="4" w:space="0" w:color="auto"/>
              <w:right w:val="single" w:sz="4" w:space="0" w:color="auto"/>
            </w:tcBorders>
            <w:vAlign w:val="center"/>
          </w:tcPr>
          <w:p w14:paraId="4DFC57A2" w14:textId="43579B98" w:rsidR="00AF5156" w:rsidRDefault="00AF5156" w:rsidP="00AF5156">
            <w:pPr>
              <w:jc w:val="center"/>
              <w:rPr>
                <w:rFonts w:ascii="Calibri" w:hAnsi="Calibri" w:cs="Calibri"/>
                <w:color w:val="000000"/>
                <w:szCs w:val="22"/>
              </w:rPr>
            </w:pPr>
            <w:r>
              <w:rPr>
                <w:rFonts w:ascii="Calibri" w:hAnsi="Calibri" w:cs="Calibri"/>
                <w:color w:val="000000"/>
                <w:szCs w:val="22"/>
              </w:rPr>
              <w:t>C</w:t>
            </w:r>
          </w:p>
        </w:tc>
      </w:tr>
      <w:tr w:rsidR="00AF5156" w:rsidRPr="005257A0" w14:paraId="257C872F" w14:textId="64BABAB7" w:rsidTr="0055631E">
        <w:trPr>
          <w:trHeight w:val="288"/>
        </w:trPr>
        <w:tc>
          <w:tcPr>
            <w:tcW w:w="1967" w:type="dxa"/>
            <w:shd w:val="clear" w:color="auto" w:fill="auto"/>
            <w:noWrap/>
            <w:vAlign w:val="bottom"/>
            <w:hideMark/>
          </w:tcPr>
          <w:p w14:paraId="25F1ABC1"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R32</w:t>
            </w:r>
          </w:p>
        </w:tc>
        <w:tc>
          <w:tcPr>
            <w:tcW w:w="960" w:type="dxa"/>
            <w:shd w:val="clear" w:color="auto" w:fill="auto"/>
            <w:noWrap/>
            <w:vAlign w:val="bottom"/>
            <w:hideMark/>
          </w:tcPr>
          <w:p w14:paraId="4356E3D4"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11</w:t>
            </w:r>
          </w:p>
        </w:tc>
        <w:tc>
          <w:tcPr>
            <w:tcW w:w="1061" w:type="dxa"/>
            <w:shd w:val="clear" w:color="auto" w:fill="auto"/>
            <w:noWrap/>
            <w:vAlign w:val="bottom"/>
            <w:hideMark/>
          </w:tcPr>
          <w:p w14:paraId="776F1840"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6</w:t>
            </w:r>
          </w:p>
        </w:tc>
        <w:tc>
          <w:tcPr>
            <w:tcW w:w="960" w:type="dxa"/>
            <w:shd w:val="clear" w:color="auto" w:fill="auto"/>
            <w:noWrap/>
            <w:vAlign w:val="bottom"/>
            <w:hideMark/>
          </w:tcPr>
          <w:p w14:paraId="7C024017"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9</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7D61A179" w14:textId="77777777" w:rsidR="00AF5156" w:rsidRPr="005257A0" w:rsidRDefault="00AF5156" w:rsidP="00AF5156">
            <w:pPr>
              <w:jc w:val="center"/>
              <w:rPr>
                <w:rFonts w:eastAsia="Times New Roman"/>
                <w:color w:val="000000"/>
                <w:sz w:val="20"/>
                <w:lang w:eastAsia="en-US"/>
              </w:rPr>
            </w:pPr>
            <w:r>
              <w:rPr>
                <w:rFonts w:ascii="Calibri" w:hAnsi="Calibri" w:cs="Calibri"/>
                <w:color w:val="000000"/>
                <w:szCs w:val="22"/>
              </w:rPr>
              <w:t>54</w:t>
            </w:r>
          </w:p>
        </w:tc>
        <w:tc>
          <w:tcPr>
            <w:tcW w:w="1547" w:type="dxa"/>
            <w:vMerge/>
            <w:tcBorders>
              <w:left w:val="single" w:sz="4" w:space="0" w:color="auto"/>
              <w:right w:val="single" w:sz="4" w:space="0" w:color="auto"/>
            </w:tcBorders>
            <w:vAlign w:val="center"/>
          </w:tcPr>
          <w:p w14:paraId="6A99E8A7" w14:textId="77777777" w:rsidR="00AF5156" w:rsidRDefault="00AF5156" w:rsidP="00AF5156">
            <w:pPr>
              <w:jc w:val="center"/>
              <w:rPr>
                <w:rFonts w:ascii="Calibri" w:hAnsi="Calibri" w:cs="Calibri"/>
                <w:color w:val="000000"/>
                <w:szCs w:val="22"/>
              </w:rPr>
            </w:pPr>
          </w:p>
        </w:tc>
      </w:tr>
      <w:tr w:rsidR="00AF5156" w:rsidRPr="005257A0" w14:paraId="4F595E9F" w14:textId="2D7F3745" w:rsidTr="0055631E">
        <w:trPr>
          <w:trHeight w:val="288"/>
        </w:trPr>
        <w:tc>
          <w:tcPr>
            <w:tcW w:w="1967" w:type="dxa"/>
            <w:shd w:val="clear" w:color="auto" w:fill="auto"/>
            <w:noWrap/>
            <w:vAlign w:val="bottom"/>
            <w:hideMark/>
          </w:tcPr>
          <w:p w14:paraId="355AE307"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R11</w:t>
            </w:r>
          </w:p>
        </w:tc>
        <w:tc>
          <w:tcPr>
            <w:tcW w:w="960" w:type="dxa"/>
            <w:shd w:val="clear" w:color="auto" w:fill="auto"/>
            <w:noWrap/>
            <w:vAlign w:val="bottom"/>
            <w:hideMark/>
          </w:tcPr>
          <w:p w14:paraId="7AC44BEC"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9</w:t>
            </w:r>
          </w:p>
        </w:tc>
        <w:tc>
          <w:tcPr>
            <w:tcW w:w="1061" w:type="dxa"/>
            <w:shd w:val="clear" w:color="auto" w:fill="auto"/>
            <w:noWrap/>
            <w:vAlign w:val="bottom"/>
            <w:hideMark/>
          </w:tcPr>
          <w:p w14:paraId="57A18868"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9</w:t>
            </w:r>
          </w:p>
        </w:tc>
        <w:tc>
          <w:tcPr>
            <w:tcW w:w="960" w:type="dxa"/>
            <w:shd w:val="clear" w:color="auto" w:fill="auto"/>
            <w:noWrap/>
            <w:vAlign w:val="bottom"/>
            <w:hideMark/>
          </w:tcPr>
          <w:p w14:paraId="6AFAD85E"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7</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44B7F24" w14:textId="77777777" w:rsidR="00AF5156" w:rsidRPr="005257A0" w:rsidRDefault="00AF5156" w:rsidP="00AF5156">
            <w:pPr>
              <w:jc w:val="center"/>
              <w:rPr>
                <w:rFonts w:eastAsia="Times New Roman"/>
                <w:color w:val="000000"/>
                <w:sz w:val="20"/>
                <w:lang w:eastAsia="en-US"/>
              </w:rPr>
            </w:pPr>
            <w:r>
              <w:rPr>
                <w:rFonts w:ascii="Calibri" w:hAnsi="Calibri" w:cs="Calibri"/>
                <w:color w:val="000000"/>
                <w:szCs w:val="22"/>
              </w:rPr>
              <w:t>52</w:t>
            </w:r>
          </w:p>
        </w:tc>
        <w:tc>
          <w:tcPr>
            <w:tcW w:w="1547" w:type="dxa"/>
            <w:vMerge/>
            <w:tcBorders>
              <w:left w:val="single" w:sz="4" w:space="0" w:color="auto"/>
              <w:right w:val="single" w:sz="4" w:space="0" w:color="auto"/>
            </w:tcBorders>
            <w:vAlign w:val="center"/>
          </w:tcPr>
          <w:p w14:paraId="04781B6D" w14:textId="77777777" w:rsidR="00AF5156" w:rsidRDefault="00AF5156" w:rsidP="00AF5156">
            <w:pPr>
              <w:jc w:val="center"/>
              <w:rPr>
                <w:rFonts w:ascii="Calibri" w:hAnsi="Calibri" w:cs="Calibri"/>
                <w:color w:val="000000"/>
                <w:szCs w:val="22"/>
              </w:rPr>
            </w:pPr>
          </w:p>
        </w:tc>
      </w:tr>
      <w:tr w:rsidR="00AF5156" w:rsidRPr="005257A0" w14:paraId="06A2818D" w14:textId="0EC0D168" w:rsidTr="002D47FF">
        <w:trPr>
          <w:trHeight w:val="288"/>
        </w:trPr>
        <w:tc>
          <w:tcPr>
            <w:tcW w:w="1967" w:type="dxa"/>
            <w:shd w:val="clear" w:color="auto" w:fill="FABF8F" w:themeFill="accent6" w:themeFillTint="99"/>
            <w:noWrap/>
            <w:vAlign w:val="bottom"/>
            <w:hideMark/>
          </w:tcPr>
          <w:p w14:paraId="328FCBBC" w14:textId="77777777" w:rsidR="00AF5156" w:rsidRPr="005257A0" w:rsidRDefault="00AF5156" w:rsidP="00AF5156">
            <w:pPr>
              <w:jc w:val="center"/>
              <w:rPr>
                <w:rFonts w:eastAsia="Times New Roman"/>
                <w:color w:val="000000"/>
                <w:sz w:val="20"/>
                <w:lang w:eastAsia="en-US"/>
              </w:rPr>
            </w:pPr>
            <w:r w:rsidRPr="002D47FF">
              <w:rPr>
                <w:rFonts w:eastAsia="Times New Roman"/>
                <w:color w:val="000000"/>
                <w:sz w:val="20"/>
                <w:lang w:eastAsia="en-US"/>
              </w:rPr>
              <w:t>R29</w:t>
            </w:r>
          </w:p>
        </w:tc>
        <w:tc>
          <w:tcPr>
            <w:tcW w:w="960" w:type="dxa"/>
            <w:shd w:val="clear" w:color="auto" w:fill="auto"/>
            <w:noWrap/>
            <w:vAlign w:val="bottom"/>
            <w:hideMark/>
          </w:tcPr>
          <w:p w14:paraId="5187BA32"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8</w:t>
            </w:r>
          </w:p>
        </w:tc>
        <w:tc>
          <w:tcPr>
            <w:tcW w:w="1061" w:type="dxa"/>
            <w:shd w:val="clear" w:color="auto" w:fill="auto"/>
            <w:noWrap/>
            <w:vAlign w:val="bottom"/>
            <w:hideMark/>
          </w:tcPr>
          <w:p w14:paraId="5EFEF444"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11</w:t>
            </w:r>
          </w:p>
        </w:tc>
        <w:tc>
          <w:tcPr>
            <w:tcW w:w="960" w:type="dxa"/>
            <w:shd w:val="clear" w:color="auto" w:fill="auto"/>
            <w:noWrap/>
            <w:vAlign w:val="bottom"/>
            <w:hideMark/>
          </w:tcPr>
          <w:p w14:paraId="75EDC851"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6</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E2AAFAE" w14:textId="77777777" w:rsidR="00AF5156" w:rsidRPr="005257A0" w:rsidRDefault="00AF5156" w:rsidP="00AF5156">
            <w:pPr>
              <w:jc w:val="center"/>
              <w:rPr>
                <w:rFonts w:eastAsia="Times New Roman"/>
                <w:color w:val="000000"/>
                <w:sz w:val="20"/>
                <w:lang w:eastAsia="en-US"/>
              </w:rPr>
            </w:pPr>
            <w:r>
              <w:rPr>
                <w:rFonts w:ascii="Calibri" w:hAnsi="Calibri" w:cs="Calibri"/>
                <w:color w:val="000000"/>
                <w:szCs w:val="22"/>
              </w:rPr>
              <w:t>52</w:t>
            </w:r>
          </w:p>
        </w:tc>
        <w:tc>
          <w:tcPr>
            <w:tcW w:w="1547" w:type="dxa"/>
            <w:vMerge/>
            <w:tcBorders>
              <w:left w:val="single" w:sz="4" w:space="0" w:color="auto"/>
              <w:right w:val="single" w:sz="4" w:space="0" w:color="auto"/>
            </w:tcBorders>
            <w:vAlign w:val="center"/>
          </w:tcPr>
          <w:p w14:paraId="162E4E16" w14:textId="77777777" w:rsidR="00AF5156" w:rsidRDefault="00AF5156" w:rsidP="00AF5156">
            <w:pPr>
              <w:jc w:val="center"/>
              <w:rPr>
                <w:rFonts w:ascii="Calibri" w:hAnsi="Calibri" w:cs="Calibri"/>
                <w:color w:val="000000"/>
                <w:szCs w:val="22"/>
              </w:rPr>
            </w:pPr>
          </w:p>
        </w:tc>
      </w:tr>
      <w:tr w:rsidR="00AF5156" w:rsidRPr="005257A0" w14:paraId="5A1C1C9A" w14:textId="09766A87" w:rsidTr="002D47FF">
        <w:trPr>
          <w:trHeight w:val="288"/>
        </w:trPr>
        <w:tc>
          <w:tcPr>
            <w:tcW w:w="1967" w:type="dxa"/>
            <w:shd w:val="clear" w:color="auto" w:fill="C2D69B" w:themeFill="accent3" w:themeFillTint="99"/>
            <w:noWrap/>
            <w:vAlign w:val="bottom"/>
            <w:hideMark/>
          </w:tcPr>
          <w:p w14:paraId="2350C1CF" w14:textId="77777777" w:rsidR="00AF5156" w:rsidRPr="00CA5243" w:rsidRDefault="00AF5156" w:rsidP="00AF5156">
            <w:pPr>
              <w:jc w:val="center"/>
              <w:rPr>
                <w:rFonts w:eastAsia="Times New Roman"/>
                <w:color w:val="000000"/>
                <w:sz w:val="20"/>
                <w:highlight w:val="yellow"/>
                <w:lang w:eastAsia="en-US"/>
              </w:rPr>
            </w:pPr>
            <w:r w:rsidRPr="002D47FF">
              <w:rPr>
                <w:rFonts w:eastAsia="Times New Roman"/>
                <w:color w:val="000000"/>
                <w:sz w:val="20"/>
                <w:lang w:eastAsia="en-US"/>
              </w:rPr>
              <w:t>R09</w:t>
            </w:r>
          </w:p>
        </w:tc>
        <w:tc>
          <w:tcPr>
            <w:tcW w:w="960" w:type="dxa"/>
            <w:shd w:val="clear" w:color="auto" w:fill="auto"/>
            <w:noWrap/>
            <w:vAlign w:val="bottom"/>
            <w:hideMark/>
          </w:tcPr>
          <w:p w14:paraId="6C27F5E4" w14:textId="77777777" w:rsidR="00AF5156" w:rsidRPr="00AF5156" w:rsidRDefault="00AF5156" w:rsidP="00AF5156">
            <w:pPr>
              <w:jc w:val="center"/>
              <w:rPr>
                <w:rFonts w:eastAsia="Times New Roman"/>
                <w:color w:val="000000"/>
                <w:sz w:val="20"/>
                <w:lang w:eastAsia="en-US"/>
              </w:rPr>
            </w:pPr>
            <w:r w:rsidRPr="00AF5156">
              <w:rPr>
                <w:rFonts w:eastAsia="Times New Roman"/>
                <w:color w:val="000000"/>
                <w:sz w:val="20"/>
                <w:lang w:eastAsia="en-US"/>
              </w:rPr>
              <w:t>8</w:t>
            </w:r>
          </w:p>
        </w:tc>
        <w:tc>
          <w:tcPr>
            <w:tcW w:w="1061" w:type="dxa"/>
            <w:shd w:val="clear" w:color="auto" w:fill="auto"/>
            <w:noWrap/>
            <w:vAlign w:val="bottom"/>
            <w:hideMark/>
          </w:tcPr>
          <w:p w14:paraId="541127E9" w14:textId="77777777" w:rsidR="00AF5156" w:rsidRPr="00AF5156" w:rsidRDefault="00AF5156" w:rsidP="00AF5156">
            <w:pPr>
              <w:jc w:val="center"/>
              <w:rPr>
                <w:rFonts w:eastAsia="Times New Roman"/>
                <w:color w:val="000000"/>
                <w:sz w:val="20"/>
                <w:lang w:eastAsia="en-US"/>
              </w:rPr>
            </w:pPr>
            <w:r w:rsidRPr="00AF5156">
              <w:rPr>
                <w:rFonts w:eastAsia="Times New Roman"/>
                <w:color w:val="000000"/>
                <w:sz w:val="20"/>
                <w:lang w:eastAsia="en-US"/>
              </w:rPr>
              <w:t>10</w:t>
            </w:r>
          </w:p>
        </w:tc>
        <w:tc>
          <w:tcPr>
            <w:tcW w:w="960" w:type="dxa"/>
            <w:shd w:val="clear" w:color="auto" w:fill="auto"/>
            <w:noWrap/>
            <w:vAlign w:val="bottom"/>
            <w:hideMark/>
          </w:tcPr>
          <w:p w14:paraId="3134E7B1" w14:textId="77777777" w:rsidR="00AF5156" w:rsidRPr="00AF5156" w:rsidRDefault="00AF5156" w:rsidP="00AF5156">
            <w:pPr>
              <w:jc w:val="center"/>
              <w:rPr>
                <w:rFonts w:eastAsia="Times New Roman"/>
                <w:color w:val="000000"/>
                <w:sz w:val="20"/>
                <w:lang w:eastAsia="en-US"/>
              </w:rPr>
            </w:pPr>
            <w:r w:rsidRPr="00AF5156">
              <w:rPr>
                <w:rFonts w:eastAsia="Times New Roman"/>
                <w:color w:val="000000"/>
                <w:sz w:val="20"/>
                <w:lang w:eastAsia="en-US"/>
              </w:rPr>
              <w:t>8</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5A9472B" w14:textId="77777777" w:rsidR="00AF5156" w:rsidRPr="00CA5243" w:rsidRDefault="00AF5156" w:rsidP="00AF5156">
            <w:pPr>
              <w:jc w:val="center"/>
              <w:rPr>
                <w:rFonts w:eastAsia="Times New Roman"/>
                <w:color w:val="000000"/>
                <w:sz w:val="20"/>
                <w:highlight w:val="yellow"/>
                <w:lang w:eastAsia="en-US"/>
              </w:rPr>
            </w:pPr>
            <w:r>
              <w:rPr>
                <w:rFonts w:ascii="Calibri" w:hAnsi="Calibri" w:cs="Calibri"/>
                <w:color w:val="000000"/>
                <w:szCs w:val="22"/>
              </w:rPr>
              <w:t>52</w:t>
            </w:r>
          </w:p>
        </w:tc>
        <w:tc>
          <w:tcPr>
            <w:tcW w:w="1547" w:type="dxa"/>
            <w:vMerge/>
            <w:tcBorders>
              <w:left w:val="single" w:sz="4" w:space="0" w:color="auto"/>
              <w:right w:val="single" w:sz="4" w:space="0" w:color="auto"/>
            </w:tcBorders>
            <w:vAlign w:val="center"/>
          </w:tcPr>
          <w:p w14:paraId="1EE169ED" w14:textId="77777777" w:rsidR="00AF5156" w:rsidRDefault="00AF5156" w:rsidP="00AF5156">
            <w:pPr>
              <w:jc w:val="center"/>
              <w:rPr>
                <w:rFonts w:ascii="Calibri" w:hAnsi="Calibri" w:cs="Calibri"/>
                <w:color w:val="000000"/>
                <w:szCs w:val="22"/>
              </w:rPr>
            </w:pPr>
          </w:p>
        </w:tc>
      </w:tr>
      <w:tr w:rsidR="00AF5156" w:rsidRPr="005257A0" w14:paraId="6AC4A66F" w14:textId="48A97B5E" w:rsidTr="002D47FF">
        <w:trPr>
          <w:trHeight w:val="288"/>
        </w:trPr>
        <w:tc>
          <w:tcPr>
            <w:tcW w:w="1967" w:type="dxa"/>
            <w:shd w:val="clear" w:color="auto" w:fill="FABF8F" w:themeFill="accent6" w:themeFillTint="99"/>
            <w:noWrap/>
            <w:vAlign w:val="bottom"/>
            <w:hideMark/>
          </w:tcPr>
          <w:p w14:paraId="038233F0" w14:textId="77777777" w:rsidR="00AF5156" w:rsidRPr="005257A0" w:rsidRDefault="00AF5156" w:rsidP="00AF5156">
            <w:pPr>
              <w:jc w:val="center"/>
              <w:rPr>
                <w:rFonts w:eastAsia="Times New Roman"/>
                <w:color w:val="000000"/>
                <w:sz w:val="20"/>
                <w:lang w:eastAsia="en-US"/>
              </w:rPr>
            </w:pPr>
            <w:r w:rsidRPr="002D47FF">
              <w:rPr>
                <w:rFonts w:eastAsia="Times New Roman"/>
                <w:color w:val="000000"/>
                <w:sz w:val="20"/>
                <w:lang w:eastAsia="en-US"/>
              </w:rPr>
              <w:t>R30</w:t>
            </w:r>
          </w:p>
        </w:tc>
        <w:tc>
          <w:tcPr>
            <w:tcW w:w="960" w:type="dxa"/>
            <w:shd w:val="clear" w:color="auto" w:fill="auto"/>
            <w:noWrap/>
            <w:vAlign w:val="bottom"/>
            <w:hideMark/>
          </w:tcPr>
          <w:p w14:paraId="350F388F"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6</w:t>
            </w:r>
          </w:p>
        </w:tc>
        <w:tc>
          <w:tcPr>
            <w:tcW w:w="1061" w:type="dxa"/>
            <w:shd w:val="clear" w:color="auto" w:fill="auto"/>
            <w:noWrap/>
            <w:vAlign w:val="bottom"/>
            <w:hideMark/>
          </w:tcPr>
          <w:p w14:paraId="23F98C89"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15</w:t>
            </w:r>
          </w:p>
        </w:tc>
        <w:tc>
          <w:tcPr>
            <w:tcW w:w="960" w:type="dxa"/>
            <w:shd w:val="clear" w:color="auto" w:fill="auto"/>
            <w:noWrap/>
            <w:vAlign w:val="bottom"/>
            <w:hideMark/>
          </w:tcPr>
          <w:p w14:paraId="37911B4B"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4</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4D0D693" w14:textId="77777777" w:rsidR="00AF5156" w:rsidRPr="005257A0" w:rsidRDefault="00AF5156" w:rsidP="00AF5156">
            <w:pPr>
              <w:jc w:val="center"/>
              <w:rPr>
                <w:rFonts w:eastAsia="Times New Roman"/>
                <w:color w:val="000000"/>
                <w:sz w:val="20"/>
                <w:lang w:eastAsia="en-US"/>
              </w:rPr>
            </w:pPr>
            <w:r>
              <w:rPr>
                <w:rFonts w:ascii="Calibri" w:hAnsi="Calibri" w:cs="Calibri"/>
                <w:color w:val="000000"/>
                <w:szCs w:val="22"/>
              </w:rPr>
              <w:t>52</w:t>
            </w:r>
          </w:p>
        </w:tc>
        <w:tc>
          <w:tcPr>
            <w:tcW w:w="1547" w:type="dxa"/>
            <w:vMerge/>
            <w:tcBorders>
              <w:left w:val="single" w:sz="4" w:space="0" w:color="auto"/>
              <w:right w:val="single" w:sz="4" w:space="0" w:color="auto"/>
            </w:tcBorders>
            <w:vAlign w:val="center"/>
          </w:tcPr>
          <w:p w14:paraId="28EEAFEC" w14:textId="77777777" w:rsidR="00AF5156" w:rsidRDefault="00AF5156" w:rsidP="00AF5156">
            <w:pPr>
              <w:jc w:val="center"/>
              <w:rPr>
                <w:rFonts w:ascii="Calibri" w:hAnsi="Calibri" w:cs="Calibri"/>
                <w:color w:val="000000"/>
                <w:szCs w:val="22"/>
              </w:rPr>
            </w:pPr>
          </w:p>
        </w:tc>
      </w:tr>
      <w:tr w:rsidR="00AF5156" w:rsidRPr="005257A0" w14:paraId="2569E400" w14:textId="67DFC45A" w:rsidTr="002D47FF">
        <w:trPr>
          <w:trHeight w:val="288"/>
        </w:trPr>
        <w:tc>
          <w:tcPr>
            <w:tcW w:w="1967" w:type="dxa"/>
            <w:shd w:val="clear" w:color="auto" w:fill="C2D69B" w:themeFill="accent3" w:themeFillTint="99"/>
            <w:noWrap/>
            <w:vAlign w:val="bottom"/>
            <w:hideMark/>
          </w:tcPr>
          <w:p w14:paraId="1531D2C8" w14:textId="77777777" w:rsidR="00AF5156" w:rsidRPr="005257A0" w:rsidRDefault="00AF5156" w:rsidP="00AF5156">
            <w:pPr>
              <w:jc w:val="center"/>
              <w:rPr>
                <w:rFonts w:eastAsia="Times New Roman"/>
                <w:color w:val="000000"/>
                <w:sz w:val="20"/>
                <w:lang w:eastAsia="en-US"/>
              </w:rPr>
            </w:pPr>
            <w:r w:rsidRPr="002D47FF">
              <w:rPr>
                <w:rFonts w:eastAsia="Times New Roman"/>
                <w:color w:val="000000"/>
                <w:sz w:val="20"/>
                <w:lang w:eastAsia="en-US"/>
              </w:rPr>
              <w:t>R39</w:t>
            </w:r>
          </w:p>
        </w:tc>
        <w:tc>
          <w:tcPr>
            <w:tcW w:w="960" w:type="dxa"/>
            <w:shd w:val="clear" w:color="auto" w:fill="auto"/>
            <w:noWrap/>
            <w:vAlign w:val="bottom"/>
            <w:hideMark/>
          </w:tcPr>
          <w:p w14:paraId="3370100F"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9</w:t>
            </w:r>
          </w:p>
        </w:tc>
        <w:tc>
          <w:tcPr>
            <w:tcW w:w="1061" w:type="dxa"/>
            <w:shd w:val="clear" w:color="auto" w:fill="auto"/>
            <w:noWrap/>
            <w:vAlign w:val="bottom"/>
            <w:hideMark/>
          </w:tcPr>
          <w:p w14:paraId="6D24DB46"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7</w:t>
            </w:r>
          </w:p>
        </w:tc>
        <w:tc>
          <w:tcPr>
            <w:tcW w:w="960" w:type="dxa"/>
            <w:shd w:val="clear" w:color="auto" w:fill="auto"/>
            <w:noWrap/>
            <w:vAlign w:val="bottom"/>
            <w:hideMark/>
          </w:tcPr>
          <w:p w14:paraId="39FD05BD"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10</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AD2007F" w14:textId="77777777" w:rsidR="00AF5156" w:rsidRPr="005257A0" w:rsidRDefault="00AF5156" w:rsidP="00AF5156">
            <w:pPr>
              <w:jc w:val="center"/>
              <w:rPr>
                <w:rFonts w:eastAsia="Times New Roman"/>
                <w:color w:val="000000"/>
                <w:sz w:val="20"/>
                <w:lang w:eastAsia="en-US"/>
              </w:rPr>
            </w:pPr>
            <w:r>
              <w:rPr>
                <w:rFonts w:ascii="Calibri" w:hAnsi="Calibri" w:cs="Calibri"/>
                <w:color w:val="000000"/>
                <w:szCs w:val="22"/>
              </w:rPr>
              <w:t>51</w:t>
            </w:r>
          </w:p>
        </w:tc>
        <w:tc>
          <w:tcPr>
            <w:tcW w:w="1547" w:type="dxa"/>
            <w:vMerge/>
            <w:tcBorders>
              <w:left w:val="single" w:sz="4" w:space="0" w:color="auto"/>
              <w:right w:val="single" w:sz="4" w:space="0" w:color="auto"/>
            </w:tcBorders>
            <w:vAlign w:val="center"/>
          </w:tcPr>
          <w:p w14:paraId="0E7CA5D0" w14:textId="77777777" w:rsidR="00AF5156" w:rsidRDefault="00AF5156" w:rsidP="00AF5156">
            <w:pPr>
              <w:jc w:val="center"/>
              <w:rPr>
                <w:rFonts w:ascii="Calibri" w:hAnsi="Calibri" w:cs="Calibri"/>
                <w:color w:val="000000"/>
                <w:szCs w:val="22"/>
              </w:rPr>
            </w:pPr>
          </w:p>
        </w:tc>
      </w:tr>
      <w:tr w:rsidR="00AF5156" w:rsidRPr="005257A0" w14:paraId="631DE7B8" w14:textId="5EF1CC5D" w:rsidTr="002D47FF">
        <w:trPr>
          <w:trHeight w:val="288"/>
        </w:trPr>
        <w:tc>
          <w:tcPr>
            <w:tcW w:w="1967" w:type="dxa"/>
            <w:shd w:val="clear" w:color="auto" w:fill="FABF8F" w:themeFill="accent6" w:themeFillTint="99"/>
            <w:noWrap/>
            <w:vAlign w:val="bottom"/>
            <w:hideMark/>
          </w:tcPr>
          <w:p w14:paraId="6A5CA200" w14:textId="77777777" w:rsidR="00AF5156" w:rsidRPr="005257A0" w:rsidRDefault="00AF5156" w:rsidP="00AF5156">
            <w:pPr>
              <w:jc w:val="center"/>
              <w:rPr>
                <w:rFonts w:eastAsia="Times New Roman"/>
                <w:color w:val="000000"/>
                <w:sz w:val="20"/>
                <w:lang w:eastAsia="en-US"/>
              </w:rPr>
            </w:pPr>
            <w:r w:rsidRPr="002D47FF">
              <w:rPr>
                <w:rFonts w:eastAsia="Times New Roman"/>
                <w:color w:val="000000"/>
                <w:sz w:val="20"/>
                <w:lang w:eastAsia="en-US"/>
              </w:rPr>
              <w:t>R34</w:t>
            </w:r>
          </w:p>
        </w:tc>
        <w:tc>
          <w:tcPr>
            <w:tcW w:w="960" w:type="dxa"/>
            <w:shd w:val="clear" w:color="auto" w:fill="auto"/>
            <w:noWrap/>
            <w:vAlign w:val="bottom"/>
            <w:hideMark/>
          </w:tcPr>
          <w:p w14:paraId="7EBFB735"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10</w:t>
            </w:r>
          </w:p>
        </w:tc>
        <w:tc>
          <w:tcPr>
            <w:tcW w:w="1061" w:type="dxa"/>
            <w:shd w:val="clear" w:color="auto" w:fill="auto"/>
            <w:noWrap/>
            <w:vAlign w:val="bottom"/>
            <w:hideMark/>
          </w:tcPr>
          <w:p w14:paraId="1BE46AF6"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5</w:t>
            </w:r>
          </w:p>
        </w:tc>
        <w:tc>
          <w:tcPr>
            <w:tcW w:w="960" w:type="dxa"/>
            <w:shd w:val="clear" w:color="auto" w:fill="auto"/>
            <w:noWrap/>
            <w:vAlign w:val="bottom"/>
            <w:hideMark/>
          </w:tcPr>
          <w:p w14:paraId="24E818D7"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10</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770DAFCB" w14:textId="77777777" w:rsidR="00AF5156" w:rsidRPr="005257A0" w:rsidRDefault="00AF5156" w:rsidP="00AF5156">
            <w:pPr>
              <w:jc w:val="center"/>
              <w:rPr>
                <w:rFonts w:eastAsia="Times New Roman"/>
                <w:color w:val="000000"/>
                <w:sz w:val="20"/>
                <w:lang w:eastAsia="en-US"/>
              </w:rPr>
            </w:pPr>
            <w:r>
              <w:rPr>
                <w:rFonts w:ascii="Calibri" w:hAnsi="Calibri" w:cs="Calibri"/>
                <w:color w:val="000000"/>
                <w:szCs w:val="22"/>
              </w:rPr>
              <w:t>50</w:t>
            </w:r>
          </w:p>
        </w:tc>
        <w:tc>
          <w:tcPr>
            <w:tcW w:w="1547" w:type="dxa"/>
            <w:vMerge/>
            <w:tcBorders>
              <w:left w:val="single" w:sz="4" w:space="0" w:color="auto"/>
              <w:right w:val="single" w:sz="4" w:space="0" w:color="auto"/>
            </w:tcBorders>
            <w:vAlign w:val="center"/>
          </w:tcPr>
          <w:p w14:paraId="7D3A07A3" w14:textId="77777777" w:rsidR="00AF5156" w:rsidRDefault="00AF5156" w:rsidP="00AF5156">
            <w:pPr>
              <w:jc w:val="center"/>
              <w:rPr>
                <w:rFonts w:ascii="Calibri" w:hAnsi="Calibri" w:cs="Calibri"/>
                <w:color w:val="000000"/>
                <w:szCs w:val="22"/>
              </w:rPr>
            </w:pPr>
          </w:p>
        </w:tc>
      </w:tr>
      <w:tr w:rsidR="00AF5156" w:rsidRPr="005257A0" w14:paraId="0E6AF101" w14:textId="36440215" w:rsidTr="0055631E">
        <w:trPr>
          <w:trHeight w:val="288"/>
        </w:trPr>
        <w:tc>
          <w:tcPr>
            <w:tcW w:w="1967" w:type="dxa"/>
            <w:shd w:val="clear" w:color="auto" w:fill="auto"/>
            <w:noWrap/>
            <w:vAlign w:val="bottom"/>
            <w:hideMark/>
          </w:tcPr>
          <w:p w14:paraId="0D4F6A1E"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R37</w:t>
            </w:r>
          </w:p>
        </w:tc>
        <w:tc>
          <w:tcPr>
            <w:tcW w:w="960" w:type="dxa"/>
            <w:shd w:val="clear" w:color="auto" w:fill="auto"/>
            <w:noWrap/>
            <w:vAlign w:val="bottom"/>
            <w:hideMark/>
          </w:tcPr>
          <w:p w14:paraId="3AA6C66F"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9</w:t>
            </w:r>
          </w:p>
        </w:tc>
        <w:tc>
          <w:tcPr>
            <w:tcW w:w="1061" w:type="dxa"/>
            <w:shd w:val="clear" w:color="auto" w:fill="auto"/>
            <w:noWrap/>
            <w:vAlign w:val="bottom"/>
            <w:hideMark/>
          </w:tcPr>
          <w:p w14:paraId="2B175962"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7</w:t>
            </w:r>
          </w:p>
        </w:tc>
        <w:tc>
          <w:tcPr>
            <w:tcW w:w="960" w:type="dxa"/>
            <w:shd w:val="clear" w:color="auto" w:fill="auto"/>
            <w:noWrap/>
            <w:vAlign w:val="bottom"/>
            <w:hideMark/>
          </w:tcPr>
          <w:p w14:paraId="39CCBBE6"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8</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7E514257" w14:textId="77777777" w:rsidR="00AF5156" w:rsidRPr="005257A0" w:rsidRDefault="00AF5156" w:rsidP="00AF5156">
            <w:pPr>
              <w:jc w:val="center"/>
              <w:rPr>
                <w:rFonts w:eastAsia="Times New Roman"/>
                <w:color w:val="000000"/>
                <w:sz w:val="20"/>
                <w:lang w:eastAsia="en-US"/>
              </w:rPr>
            </w:pPr>
            <w:r>
              <w:rPr>
                <w:rFonts w:ascii="Calibri" w:hAnsi="Calibri" w:cs="Calibri"/>
                <w:color w:val="000000"/>
                <w:szCs w:val="22"/>
              </w:rPr>
              <w:t>49</w:t>
            </w:r>
          </w:p>
        </w:tc>
        <w:tc>
          <w:tcPr>
            <w:tcW w:w="1547" w:type="dxa"/>
            <w:vMerge/>
            <w:tcBorders>
              <w:left w:val="single" w:sz="4" w:space="0" w:color="auto"/>
              <w:right w:val="single" w:sz="4" w:space="0" w:color="auto"/>
            </w:tcBorders>
            <w:vAlign w:val="center"/>
          </w:tcPr>
          <w:p w14:paraId="6A10C1DC" w14:textId="77777777" w:rsidR="00AF5156" w:rsidRDefault="00AF5156" w:rsidP="00AF5156">
            <w:pPr>
              <w:jc w:val="center"/>
              <w:rPr>
                <w:rFonts w:ascii="Calibri" w:hAnsi="Calibri" w:cs="Calibri"/>
                <w:color w:val="000000"/>
                <w:szCs w:val="22"/>
              </w:rPr>
            </w:pPr>
          </w:p>
        </w:tc>
      </w:tr>
      <w:tr w:rsidR="00AF5156" w:rsidRPr="005257A0" w14:paraId="36D79A95" w14:textId="1FE9F3C9" w:rsidTr="0055631E">
        <w:trPr>
          <w:trHeight w:val="288"/>
        </w:trPr>
        <w:tc>
          <w:tcPr>
            <w:tcW w:w="1967" w:type="dxa"/>
            <w:shd w:val="clear" w:color="auto" w:fill="auto"/>
            <w:noWrap/>
            <w:vAlign w:val="bottom"/>
            <w:hideMark/>
          </w:tcPr>
          <w:p w14:paraId="37AC6E55"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R10</w:t>
            </w:r>
          </w:p>
        </w:tc>
        <w:tc>
          <w:tcPr>
            <w:tcW w:w="960" w:type="dxa"/>
            <w:shd w:val="clear" w:color="auto" w:fill="auto"/>
            <w:noWrap/>
            <w:vAlign w:val="bottom"/>
            <w:hideMark/>
          </w:tcPr>
          <w:p w14:paraId="6D118AD8"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9</w:t>
            </w:r>
          </w:p>
        </w:tc>
        <w:tc>
          <w:tcPr>
            <w:tcW w:w="1061" w:type="dxa"/>
            <w:shd w:val="clear" w:color="auto" w:fill="auto"/>
            <w:noWrap/>
            <w:vAlign w:val="bottom"/>
            <w:hideMark/>
          </w:tcPr>
          <w:p w14:paraId="550863BF"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6</w:t>
            </w:r>
          </w:p>
        </w:tc>
        <w:tc>
          <w:tcPr>
            <w:tcW w:w="960" w:type="dxa"/>
            <w:shd w:val="clear" w:color="auto" w:fill="auto"/>
            <w:noWrap/>
            <w:vAlign w:val="bottom"/>
            <w:hideMark/>
          </w:tcPr>
          <w:p w14:paraId="3DE78A27"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10</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76ABC5FE" w14:textId="77777777" w:rsidR="00AF5156" w:rsidRPr="005257A0" w:rsidRDefault="00AF5156" w:rsidP="00AF5156">
            <w:pPr>
              <w:jc w:val="center"/>
              <w:rPr>
                <w:rFonts w:eastAsia="Times New Roman"/>
                <w:color w:val="000000"/>
                <w:sz w:val="20"/>
                <w:lang w:eastAsia="en-US"/>
              </w:rPr>
            </w:pPr>
            <w:r>
              <w:rPr>
                <w:rFonts w:ascii="Calibri" w:hAnsi="Calibri" w:cs="Calibri"/>
                <w:color w:val="000000"/>
                <w:szCs w:val="22"/>
              </w:rPr>
              <w:t>49</w:t>
            </w:r>
          </w:p>
        </w:tc>
        <w:tc>
          <w:tcPr>
            <w:tcW w:w="1547" w:type="dxa"/>
            <w:vMerge/>
            <w:tcBorders>
              <w:left w:val="single" w:sz="4" w:space="0" w:color="auto"/>
              <w:right w:val="single" w:sz="4" w:space="0" w:color="auto"/>
            </w:tcBorders>
            <w:vAlign w:val="center"/>
          </w:tcPr>
          <w:p w14:paraId="6D3A17D8" w14:textId="77777777" w:rsidR="00AF5156" w:rsidRDefault="00AF5156" w:rsidP="00AF5156">
            <w:pPr>
              <w:jc w:val="center"/>
              <w:rPr>
                <w:rFonts w:ascii="Calibri" w:hAnsi="Calibri" w:cs="Calibri"/>
                <w:color w:val="000000"/>
                <w:szCs w:val="22"/>
              </w:rPr>
            </w:pPr>
          </w:p>
        </w:tc>
      </w:tr>
      <w:tr w:rsidR="00AF5156" w:rsidRPr="005257A0" w14:paraId="636821DB" w14:textId="68B1B1A7" w:rsidTr="0055631E">
        <w:trPr>
          <w:trHeight w:val="288"/>
        </w:trPr>
        <w:tc>
          <w:tcPr>
            <w:tcW w:w="1967" w:type="dxa"/>
            <w:shd w:val="clear" w:color="auto" w:fill="FFFFFF" w:themeFill="background1"/>
            <w:noWrap/>
            <w:vAlign w:val="bottom"/>
            <w:hideMark/>
          </w:tcPr>
          <w:p w14:paraId="085222F8"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R22</w:t>
            </w:r>
          </w:p>
        </w:tc>
        <w:tc>
          <w:tcPr>
            <w:tcW w:w="960" w:type="dxa"/>
            <w:shd w:val="clear" w:color="auto" w:fill="FFFFFF" w:themeFill="background1"/>
            <w:noWrap/>
            <w:vAlign w:val="bottom"/>
            <w:hideMark/>
          </w:tcPr>
          <w:p w14:paraId="52143997"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4</w:t>
            </w:r>
          </w:p>
        </w:tc>
        <w:tc>
          <w:tcPr>
            <w:tcW w:w="1061" w:type="dxa"/>
            <w:shd w:val="clear" w:color="auto" w:fill="FFFFFF" w:themeFill="background1"/>
            <w:noWrap/>
            <w:vAlign w:val="bottom"/>
            <w:hideMark/>
          </w:tcPr>
          <w:p w14:paraId="6CF24A37"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15</w:t>
            </w:r>
          </w:p>
        </w:tc>
        <w:tc>
          <w:tcPr>
            <w:tcW w:w="960" w:type="dxa"/>
            <w:shd w:val="clear" w:color="auto" w:fill="FFFFFF" w:themeFill="background1"/>
            <w:noWrap/>
            <w:vAlign w:val="bottom"/>
            <w:hideMark/>
          </w:tcPr>
          <w:p w14:paraId="2616238E"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7</w:t>
            </w:r>
          </w:p>
        </w:tc>
        <w:tc>
          <w:tcPr>
            <w:tcW w:w="130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A5ED6ED" w14:textId="77777777" w:rsidR="00AF5156" w:rsidRPr="005257A0" w:rsidRDefault="00AF5156" w:rsidP="00AF5156">
            <w:pPr>
              <w:jc w:val="center"/>
              <w:rPr>
                <w:rFonts w:eastAsia="Times New Roman"/>
                <w:color w:val="000000"/>
                <w:sz w:val="20"/>
                <w:lang w:eastAsia="en-US"/>
              </w:rPr>
            </w:pPr>
            <w:r>
              <w:rPr>
                <w:rFonts w:ascii="Calibri" w:hAnsi="Calibri" w:cs="Calibri"/>
                <w:color w:val="000000"/>
                <w:szCs w:val="22"/>
              </w:rPr>
              <w:t>49</w:t>
            </w:r>
          </w:p>
        </w:tc>
        <w:tc>
          <w:tcPr>
            <w:tcW w:w="1547" w:type="dxa"/>
            <w:vMerge/>
            <w:tcBorders>
              <w:left w:val="single" w:sz="4" w:space="0" w:color="auto"/>
              <w:bottom w:val="single" w:sz="4" w:space="0" w:color="auto"/>
              <w:right w:val="single" w:sz="4" w:space="0" w:color="auto"/>
            </w:tcBorders>
            <w:shd w:val="clear" w:color="auto" w:fill="FFFFFF" w:themeFill="background1"/>
            <w:vAlign w:val="center"/>
          </w:tcPr>
          <w:p w14:paraId="03F93B00" w14:textId="120C7014" w:rsidR="00AF5156" w:rsidRPr="00AF5156" w:rsidRDefault="00AF5156" w:rsidP="00AF5156">
            <w:pPr>
              <w:jc w:val="center"/>
              <w:rPr>
                <w:rFonts w:eastAsia="Times New Roman"/>
                <w:color w:val="000000"/>
                <w:sz w:val="20"/>
                <w:lang w:eastAsia="en-US"/>
              </w:rPr>
            </w:pPr>
          </w:p>
        </w:tc>
      </w:tr>
      <w:tr w:rsidR="00AF5156" w:rsidRPr="005257A0" w14:paraId="36C80EE3" w14:textId="0B590EA0" w:rsidTr="002D47FF">
        <w:trPr>
          <w:trHeight w:val="288"/>
        </w:trPr>
        <w:tc>
          <w:tcPr>
            <w:tcW w:w="1967" w:type="dxa"/>
            <w:shd w:val="clear" w:color="auto" w:fill="FABF8F" w:themeFill="accent6" w:themeFillTint="99"/>
            <w:noWrap/>
            <w:vAlign w:val="bottom"/>
            <w:hideMark/>
          </w:tcPr>
          <w:p w14:paraId="2CE7ADA5" w14:textId="77777777" w:rsidR="00AF5156" w:rsidRPr="005257A0" w:rsidRDefault="00AF5156" w:rsidP="00AF5156">
            <w:pPr>
              <w:jc w:val="center"/>
              <w:rPr>
                <w:rFonts w:eastAsia="Times New Roman"/>
                <w:color w:val="000000"/>
                <w:sz w:val="20"/>
                <w:lang w:eastAsia="en-US"/>
              </w:rPr>
            </w:pPr>
            <w:r w:rsidRPr="002D47FF">
              <w:rPr>
                <w:rFonts w:eastAsia="Times New Roman"/>
                <w:color w:val="000000"/>
                <w:sz w:val="20"/>
                <w:lang w:eastAsia="en-US"/>
              </w:rPr>
              <w:t>R08</w:t>
            </w:r>
          </w:p>
        </w:tc>
        <w:tc>
          <w:tcPr>
            <w:tcW w:w="960" w:type="dxa"/>
            <w:shd w:val="clear" w:color="auto" w:fill="F2F2F2" w:themeFill="background1" w:themeFillShade="F2"/>
            <w:noWrap/>
            <w:vAlign w:val="bottom"/>
            <w:hideMark/>
          </w:tcPr>
          <w:p w14:paraId="4EFD59AC"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6</w:t>
            </w:r>
          </w:p>
        </w:tc>
        <w:tc>
          <w:tcPr>
            <w:tcW w:w="1061" w:type="dxa"/>
            <w:shd w:val="clear" w:color="auto" w:fill="F2F2F2" w:themeFill="background1" w:themeFillShade="F2"/>
            <w:noWrap/>
            <w:vAlign w:val="bottom"/>
            <w:hideMark/>
          </w:tcPr>
          <w:p w14:paraId="6866074E"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11</w:t>
            </w:r>
          </w:p>
        </w:tc>
        <w:tc>
          <w:tcPr>
            <w:tcW w:w="960" w:type="dxa"/>
            <w:shd w:val="clear" w:color="auto" w:fill="F2F2F2" w:themeFill="background1" w:themeFillShade="F2"/>
            <w:noWrap/>
            <w:vAlign w:val="bottom"/>
            <w:hideMark/>
          </w:tcPr>
          <w:p w14:paraId="2D3323CA"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8</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DF0B7CE" w14:textId="77777777" w:rsidR="00AF5156" w:rsidRPr="005257A0" w:rsidRDefault="00AF5156" w:rsidP="00AF5156">
            <w:pPr>
              <w:jc w:val="center"/>
              <w:rPr>
                <w:rFonts w:eastAsia="Times New Roman"/>
                <w:color w:val="000000"/>
                <w:sz w:val="20"/>
                <w:lang w:eastAsia="en-US"/>
              </w:rPr>
            </w:pPr>
            <w:r>
              <w:rPr>
                <w:rFonts w:ascii="Calibri" w:hAnsi="Calibri" w:cs="Calibri"/>
                <w:color w:val="000000"/>
                <w:szCs w:val="22"/>
              </w:rPr>
              <w:t>48</w:t>
            </w:r>
          </w:p>
        </w:tc>
        <w:tc>
          <w:tcPr>
            <w:tcW w:w="154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292B643" w14:textId="6A964B84" w:rsidR="00AF5156" w:rsidRDefault="00AF5156" w:rsidP="00AF5156">
            <w:pPr>
              <w:jc w:val="center"/>
              <w:rPr>
                <w:rFonts w:ascii="Calibri" w:hAnsi="Calibri" w:cs="Calibri"/>
                <w:color w:val="000000"/>
                <w:szCs w:val="22"/>
              </w:rPr>
            </w:pPr>
            <w:r>
              <w:rPr>
                <w:rFonts w:ascii="Calibri" w:hAnsi="Calibri" w:cs="Calibri"/>
                <w:color w:val="000000"/>
                <w:szCs w:val="22"/>
              </w:rPr>
              <w:t>D</w:t>
            </w:r>
          </w:p>
        </w:tc>
      </w:tr>
      <w:tr w:rsidR="00AF5156" w:rsidRPr="005257A0" w14:paraId="5371184D" w14:textId="016713A4" w:rsidTr="002D47FF">
        <w:trPr>
          <w:trHeight w:val="288"/>
        </w:trPr>
        <w:tc>
          <w:tcPr>
            <w:tcW w:w="1967" w:type="dxa"/>
            <w:shd w:val="clear" w:color="auto" w:fill="FABF8F" w:themeFill="accent6" w:themeFillTint="99"/>
            <w:noWrap/>
            <w:vAlign w:val="bottom"/>
            <w:hideMark/>
          </w:tcPr>
          <w:p w14:paraId="33EFE505" w14:textId="77777777" w:rsidR="00AF5156" w:rsidRPr="005257A0" w:rsidRDefault="00AF5156" w:rsidP="00AF5156">
            <w:pPr>
              <w:jc w:val="center"/>
              <w:rPr>
                <w:rFonts w:eastAsia="Times New Roman"/>
                <w:color w:val="000000"/>
                <w:sz w:val="20"/>
                <w:lang w:eastAsia="en-US"/>
              </w:rPr>
            </w:pPr>
            <w:r w:rsidRPr="002D47FF">
              <w:rPr>
                <w:rFonts w:eastAsia="Times New Roman"/>
                <w:color w:val="000000"/>
                <w:sz w:val="20"/>
                <w:lang w:eastAsia="en-US"/>
              </w:rPr>
              <w:t>R03</w:t>
            </w:r>
          </w:p>
        </w:tc>
        <w:tc>
          <w:tcPr>
            <w:tcW w:w="960" w:type="dxa"/>
            <w:shd w:val="clear" w:color="auto" w:fill="F2F2F2" w:themeFill="background1" w:themeFillShade="F2"/>
            <w:noWrap/>
            <w:vAlign w:val="bottom"/>
            <w:hideMark/>
          </w:tcPr>
          <w:p w14:paraId="1531C065"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8</w:t>
            </w:r>
          </w:p>
        </w:tc>
        <w:tc>
          <w:tcPr>
            <w:tcW w:w="1061" w:type="dxa"/>
            <w:shd w:val="clear" w:color="auto" w:fill="F2F2F2" w:themeFill="background1" w:themeFillShade="F2"/>
            <w:noWrap/>
            <w:vAlign w:val="bottom"/>
            <w:hideMark/>
          </w:tcPr>
          <w:p w14:paraId="30AE926C"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7</w:t>
            </w:r>
          </w:p>
        </w:tc>
        <w:tc>
          <w:tcPr>
            <w:tcW w:w="960" w:type="dxa"/>
            <w:shd w:val="clear" w:color="auto" w:fill="F2F2F2" w:themeFill="background1" w:themeFillShade="F2"/>
            <w:noWrap/>
            <w:vAlign w:val="bottom"/>
            <w:hideMark/>
          </w:tcPr>
          <w:p w14:paraId="343407C3"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9</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B1A851A" w14:textId="77777777" w:rsidR="00AF5156" w:rsidRPr="005257A0" w:rsidRDefault="00AF5156" w:rsidP="00AF5156">
            <w:pPr>
              <w:jc w:val="center"/>
              <w:rPr>
                <w:rFonts w:eastAsia="Times New Roman"/>
                <w:color w:val="000000"/>
                <w:sz w:val="20"/>
                <w:lang w:eastAsia="en-US"/>
              </w:rPr>
            </w:pPr>
            <w:r>
              <w:rPr>
                <w:rFonts w:ascii="Calibri" w:hAnsi="Calibri" w:cs="Calibri"/>
                <w:color w:val="000000"/>
                <w:szCs w:val="22"/>
              </w:rPr>
              <w:t>47</w:t>
            </w:r>
          </w:p>
        </w:tc>
        <w:tc>
          <w:tcPr>
            <w:tcW w:w="1547" w:type="dxa"/>
            <w:vMerge/>
            <w:tcBorders>
              <w:left w:val="single" w:sz="4" w:space="0" w:color="auto"/>
              <w:right w:val="single" w:sz="4" w:space="0" w:color="auto"/>
            </w:tcBorders>
            <w:shd w:val="clear" w:color="auto" w:fill="F2F2F2" w:themeFill="background1" w:themeFillShade="F2"/>
            <w:vAlign w:val="center"/>
          </w:tcPr>
          <w:p w14:paraId="6A69323F" w14:textId="77777777" w:rsidR="00AF5156" w:rsidRDefault="00AF5156" w:rsidP="00AF5156">
            <w:pPr>
              <w:jc w:val="center"/>
              <w:rPr>
                <w:rFonts w:ascii="Calibri" w:hAnsi="Calibri" w:cs="Calibri"/>
                <w:color w:val="000000"/>
                <w:szCs w:val="22"/>
              </w:rPr>
            </w:pPr>
          </w:p>
        </w:tc>
      </w:tr>
      <w:tr w:rsidR="00AF5156" w:rsidRPr="005257A0" w14:paraId="30F8A9CB" w14:textId="60B99984" w:rsidTr="00FF5A58">
        <w:trPr>
          <w:trHeight w:val="288"/>
        </w:trPr>
        <w:tc>
          <w:tcPr>
            <w:tcW w:w="1967" w:type="dxa"/>
            <w:shd w:val="clear" w:color="auto" w:fill="F2F2F2" w:themeFill="background1" w:themeFillShade="F2"/>
            <w:noWrap/>
            <w:vAlign w:val="bottom"/>
            <w:hideMark/>
          </w:tcPr>
          <w:p w14:paraId="34BE245B" w14:textId="77777777" w:rsidR="00AF5156" w:rsidRPr="005257A0" w:rsidRDefault="00AF5156" w:rsidP="00AF5156">
            <w:pPr>
              <w:jc w:val="center"/>
              <w:rPr>
                <w:rFonts w:eastAsia="Times New Roman"/>
                <w:color w:val="000000"/>
                <w:sz w:val="20"/>
                <w:lang w:eastAsia="en-US"/>
              </w:rPr>
            </w:pPr>
            <w:r w:rsidRPr="002D47FF">
              <w:rPr>
                <w:rFonts w:eastAsia="Times New Roman"/>
                <w:color w:val="000000"/>
                <w:sz w:val="20"/>
                <w:lang w:eastAsia="en-US"/>
              </w:rPr>
              <w:t>R25</w:t>
            </w:r>
          </w:p>
        </w:tc>
        <w:tc>
          <w:tcPr>
            <w:tcW w:w="960" w:type="dxa"/>
            <w:shd w:val="clear" w:color="auto" w:fill="F2F2F2" w:themeFill="background1" w:themeFillShade="F2"/>
            <w:noWrap/>
            <w:vAlign w:val="bottom"/>
            <w:hideMark/>
          </w:tcPr>
          <w:p w14:paraId="7D857D7D"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7</w:t>
            </w:r>
          </w:p>
        </w:tc>
        <w:tc>
          <w:tcPr>
            <w:tcW w:w="1061" w:type="dxa"/>
            <w:shd w:val="clear" w:color="auto" w:fill="F2F2F2" w:themeFill="background1" w:themeFillShade="F2"/>
            <w:noWrap/>
            <w:vAlign w:val="bottom"/>
            <w:hideMark/>
          </w:tcPr>
          <w:p w14:paraId="052C1ABA"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9</w:t>
            </w:r>
          </w:p>
        </w:tc>
        <w:tc>
          <w:tcPr>
            <w:tcW w:w="960" w:type="dxa"/>
            <w:shd w:val="clear" w:color="auto" w:fill="F2F2F2" w:themeFill="background1" w:themeFillShade="F2"/>
            <w:noWrap/>
            <w:vAlign w:val="bottom"/>
            <w:hideMark/>
          </w:tcPr>
          <w:p w14:paraId="0809FDDB"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8</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025C7B73" w14:textId="77777777" w:rsidR="00AF5156" w:rsidRPr="005257A0" w:rsidRDefault="00AF5156" w:rsidP="00AF5156">
            <w:pPr>
              <w:jc w:val="center"/>
              <w:rPr>
                <w:rFonts w:eastAsia="Times New Roman"/>
                <w:color w:val="000000"/>
                <w:sz w:val="20"/>
                <w:lang w:eastAsia="en-US"/>
              </w:rPr>
            </w:pPr>
            <w:r>
              <w:rPr>
                <w:rFonts w:ascii="Calibri" w:hAnsi="Calibri" w:cs="Calibri"/>
                <w:color w:val="000000"/>
                <w:szCs w:val="22"/>
              </w:rPr>
              <w:t>47</w:t>
            </w:r>
          </w:p>
        </w:tc>
        <w:tc>
          <w:tcPr>
            <w:tcW w:w="1547" w:type="dxa"/>
            <w:vMerge/>
            <w:tcBorders>
              <w:left w:val="single" w:sz="4" w:space="0" w:color="auto"/>
              <w:right w:val="single" w:sz="4" w:space="0" w:color="auto"/>
            </w:tcBorders>
            <w:shd w:val="clear" w:color="auto" w:fill="F2F2F2" w:themeFill="background1" w:themeFillShade="F2"/>
            <w:vAlign w:val="center"/>
          </w:tcPr>
          <w:p w14:paraId="4B434135" w14:textId="77777777" w:rsidR="00AF5156" w:rsidRDefault="00AF5156" w:rsidP="00AF5156">
            <w:pPr>
              <w:jc w:val="center"/>
              <w:rPr>
                <w:rFonts w:ascii="Calibri" w:hAnsi="Calibri" w:cs="Calibri"/>
                <w:color w:val="000000"/>
                <w:szCs w:val="22"/>
              </w:rPr>
            </w:pPr>
          </w:p>
        </w:tc>
      </w:tr>
      <w:tr w:rsidR="00AF5156" w:rsidRPr="005257A0" w14:paraId="75D2361F" w14:textId="6E296970" w:rsidTr="002D47FF">
        <w:trPr>
          <w:trHeight w:val="288"/>
        </w:trPr>
        <w:tc>
          <w:tcPr>
            <w:tcW w:w="1967" w:type="dxa"/>
            <w:shd w:val="clear" w:color="auto" w:fill="C2D69B" w:themeFill="accent3" w:themeFillTint="99"/>
            <w:noWrap/>
            <w:vAlign w:val="bottom"/>
            <w:hideMark/>
          </w:tcPr>
          <w:p w14:paraId="4E96A15F" w14:textId="77777777" w:rsidR="00AF5156" w:rsidRPr="005257A0" w:rsidRDefault="00AF5156" w:rsidP="00AF5156">
            <w:pPr>
              <w:jc w:val="center"/>
              <w:rPr>
                <w:rFonts w:eastAsia="Times New Roman"/>
                <w:color w:val="000000"/>
                <w:sz w:val="20"/>
                <w:lang w:eastAsia="en-US"/>
              </w:rPr>
            </w:pPr>
            <w:r w:rsidRPr="002D47FF">
              <w:rPr>
                <w:rFonts w:eastAsia="Times New Roman"/>
                <w:color w:val="000000"/>
                <w:sz w:val="20"/>
                <w:lang w:eastAsia="en-US"/>
              </w:rPr>
              <w:t>R12</w:t>
            </w:r>
          </w:p>
        </w:tc>
        <w:tc>
          <w:tcPr>
            <w:tcW w:w="960" w:type="dxa"/>
            <w:shd w:val="clear" w:color="auto" w:fill="F2F2F2" w:themeFill="background1" w:themeFillShade="F2"/>
            <w:noWrap/>
            <w:vAlign w:val="bottom"/>
            <w:hideMark/>
          </w:tcPr>
          <w:p w14:paraId="03B99514"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6</w:t>
            </w:r>
          </w:p>
        </w:tc>
        <w:tc>
          <w:tcPr>
            <w:tcW w:w="1061" w:type="dxa"/>
            <w:shd w:val="clear" w:color="auto" w:fill="F2F2F2" w:themeFill="background1" w:themeFillShade="F2"/>
            <w:noWrap/>
            <w:vAlign w:val="bottom"/>
            <w:hideMark/>
          </w:tcPr>
          <w:p w14:paraId="0198D266"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10</w:t>
            </w:r>
          </w:p>
        </w:tc>
        <w:tc>
          <w:tcPr>
            <w:tcW w:w="960" w:type="dxa"/>
            <w:shd w:val="clear" w:color="auto" w:fill="F2F2F2" w:themeFill="background1" w:themeFillShade="F2"/>
            <w:noWrap/>
            <w:vAlign w:val="bottom"/>
            <w:hideMark/>
          </w:tcPr>
          <w:p w14:paraId="5ECC3406"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9</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5AF4A105" w14:textId="77777777" w:rsidR="00AF5156" w:rsidRPr="005257A0" w:rsidRDefault="00AF5156" w:rsidP="00AF5156">
            <w:pPr>
              <w:jc w:val="center"/>
              <w:rPr>
                <w:rFonts w:eastAsia="Times New Roman"/>
                <w:color w:val="000000"/>
                <w:sz w:val="20"/>
                <w:lang w:eastAsia="en-US"/>
              </w:rPr>
            </w:pPr>
            <w:r>
              <w:rPr>
                <w:rFonts w:ascii="Calibri" w:hAnsi="Calibri" w:cs="Calibri"/>
                <w:color w:val="000000"/>
                <w:szCs w:val="22"/>
              </w:rPr>
              <w:t>47</w:t>
            </w:r>
          </w:p>
        </w:tc>
        <w:tc>
          <w:tcPr>
            <w:tcW w:w="1547" w:type="dxa"/>
            <w:vMerge/>
            <w:tcBorders>
              <w:left w:val="single" w:sz="4" w:space="0" w:color="auto"/>
              <w:right w:val="single" w:sz="4" w:space="0" w:color="auto"/>
            </w:tcBorders>
            <w:shd w:val="clear" w:color="auto" w:fill="F2F2F2" w:themeFill="background1" w:themeFillShade="F2"/>
            <w:vAlign w:val="center"/>
          </w:tcPr>
          <w:p w14:paraId="45BEF010" w14:textId="77777777" w:rsidR="00AF5156" w:rsidRDefault="00AF5156" w:rsidP="00AF5156">
            <w:pPr>
              <w:jc w:val="center"/>
              <w:rPr>
                <w:rFonts w:ascii="Calibri" w:hAnsi="Calibri" w:cs="Calibri"/>
                <w:color w:val="000000"/>
                <w:szCs w:val="22"/>
              </w:rPr>
            </w:pPr>
          </w:p>
        </w:tc>
      </w:tr>
      <w:tr w:rsidR="00AF5156" w:rsidRPr="005257A0" w14:paraId="0054AE44" w14:textId="490C71C0" w:rsidTr="00FF5A58">
        <w:trPr>
          <w:trHeight w:val="288"/>
        </w:trPr>
        <w:tc>
          <w:tcPr>
            <w:tcW w:w="1967" w:type="dxa"/>
            <w:shd w:val="clear" w:color="auto" w:fill="F2F2F2" w:themeFill="background1" w:themeFillShade="F2"/>
            <w:noWrap/>
            <w:vAlign w:val="bottom"/>
            <w:hideMark/>
          </w:tcPr>
          <w:p w14:paraId="1C734664"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R13</w:t>
            </w:r>
          </w:p>
        </w:tc>
        <w:tc>
          <w:tcPr>
            <w:tcW w:w="960" w:type="dxa"/>
            <w:shd w:val="clear" w:color="auto" w:fill="F2F2F2" w:themeFill="background1" w:themeFillShade="F2"/>
            <w:noWrap/>
            <w:vAlign w:val="bottom"/>
            <w:hideMark/>
          </w:tcPr>
          <w:p w14:paraId="0D601903"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7</w:t>
            </w:r>
          </w:p>
        </w:tc>
        <w:tc>
          <w:tcPr>
            <w:tcW w:w="1061" w:type="dxa"/>
            <w:shd w:val="clear" w:color="auto" w:fill="F2F2F2" w:themeFill="background1" w:themeFillShade="F2"/>
            <w:noWrap/>
            <w:vAlign w:val="bottom"/>
            <w:hideMark/>
          </w:tcPr>
          <w:p w14:paraId="3AAC41C9"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6</w:t>
            </w:r>
          </w:p>
        </w:tc>
        <w:tc>
          <w:tcPr>
            <w:tcW w:w="960" w:type="dxa"/>
            <w:shd w:val="clear" w:color="auto" w:fill="F2F2F2" w:themeFill="background1" w:themeFillShade="F2"/>
            <w:noWrap/>
            <w:vAlign w:val="bottom"/>
            <w:hideMark/>
          </w:tcPr>
          <w:p w14:paraId="7D64909C"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13</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60CB3A6" w14:textId="77777777" w:rsidR="00AF5156" w:rsidRPr="005257A0" w:rsidRDefault="00AF5156" w:rsidP="00AF5156">
            <w:pPr>
              <w:jc w:val="center"/>
              <w:rPr>
                <w:rFonts w:eastAsia="Times New Roman"/>
                <w:color w:val="000000"/>
                <w:sz w:val="20"/>
                <w:lang w:eastAsia="en-US"/>
              </w:rPr>
            </w:pPr>
            <w:r>
              <w:rPr>
                <w:rFonts w:ascii="Calibri" w:hAnsi="Calibri" w:cs="Calibri"/>
                <w:color w:val="000000"/>
                <w:szCs w:val="22"/>
              </w:rPr>
              <w:t>46</w:t>
            </w:r>
          </w:p>
        </w:tc>
        <w:tc>
          <w:tcPr>
            <w:tcW w:w="1547" w:type="dxa"/>
            <w:vMerge/>
            <w:tcBorders>
              <w:left w:val="single" w:sz="4" w:space="0" w:color="auto"/>
              <w:right w:val="single" w:sz="4" w:space="0" w:color="auto"/>
            </w:tcBorders>
            <w:shd w:val="clear" w:color="auto" w:fill="F2F2F2" w:themeFill="background1" w:themeFillShade="F2"/>
            <w:vAlign w:val="center"/>
          </w:tcPr>
          <w:p w14:paraId="7D74A7B7" w14:textId="77777777" w:rsidR="00AF5156" w:rsidRDefault="00AF5156" w:rsidP="00AF5156">
            <w:pPr>
              <w:jc w:val="center"/>
              <w:rPr>
                <w:rFonts w:ascii="Calibri" w:hAnsi="Calibri" w:cs="Calibri"/>
                <w:color w:val="000000"/>
                <w:szCs w:val="22"/>
              </w:rPr>
            </w:pPr>
          </w:p>
        </w:tc>
      </w:tr>
      <w:tr w:rsidR="00AF5156" w:rsidRPr="005257A0" w14:paraId="360FF4DE" w14:textId="7F5316EE" w:rsidTr="00FF5A58">
        <w:trPr>
          <w:trHeight w:val="288"/>
        </w:trPr>
        <w:tc>
          <w:tcPr>
            <w:tcW w:w="1967" w:type="dxa"/>
            <w:shd w:val="clear" w:color="auto" w:fill="F2F2F2" w:themeFill="background1" w:themeFillShade="F2"/>
            <w:noWrap/>
            <w:vAlign w:val="bottom"/>
            <w:hideMark/>
          </w:tcPr>
          <w:p w14:paraId="4BAE1AB4"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R35</w:t>
            </w:r>
          </w:p>
        </w:tc>
        <w:tc>
          <w:tcPr>
            <w:tcW w:w="960" w:type="dxa"/>
            <w:shd w:val="clear" w:color="auto" w:fill="F2F2F2" w:themeFill="background1" w:themeFillShade="F2"/>
            <w:noWrap/>
            <w:vAlign w:val="bottom"/>
            <w:hideMark/>
          </w:tcPr>
          <w:p w14:paraId="7143477A"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5</w:t>
            </w:r>
          </w:p>
        </w:tc>
        <w:tc>
          <w:tcPr>
            <w:tcW w:w="1061" w:type="dxa"/>
            <w:shd w:val="clear" w:color="auto" w:fill="F2F2F2" w:themeFill="background1" w:themeFillShade="F2"/>
            <w:noWrap/>
            <w:vAlign w:val="bottom"/>
            <w:hideMark/>
          </w:tcPr>
          <w:p w14:paraId="3D1A049D"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10</w:t>
            </w:r>
          </w:p>
        </w:tc>
        <w:tc>
          <w:tcPr>
            <w:tcW w:w="960" w:type="dxa"/>
            <w:shd w:val="clear" w:color="auto" w:fill="F2F2F2" w:themeFill="background1" w:themeFillShade="F2"/>
            <w:noWrap/>
            <w:vAlign w:val="bottom"/>
            <w:hideMark/>
          </w:tcPr>
          <w:p w14:paraId="2A2FC717"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10</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05F57ED9" w14:textId="77777777" w:rsidR="00AF5156" w:rsidRPr="005257A0" w:rsidRDefault="00AF5156" w:rsidP="00AF5156">
            <w:pPr>
              <w:jc w:val="center"/>
              <w:rPr>
                <w:rFonts w:eastAsia="Times New Roman"/>
                <w:color w:val="000000"/>
                <w:sz w:val="20"/>
                <w:lang w:eastAsia="en-US"/>
              </w:rPr>
            </w:pPr>
            <w:r>
              <w:rPr>
                <w:rFonts w:ascii="Calibri" w:hAnsi="Calibri" w:cs="Calibri"/>
                <w:color w:val="000000"/>
                <w:szCs w:val="22"/>
              </w:rPr>
              <w:t>45</w:t>
            </w:r>
          </w:p>
        </w:tc>
        <w:tc>
          <w:tcPr>
            <w:tcW w:w="1547" w:type="dxa"/>
            <w:vMerge/>
            <w:tcBorders>
              <w:left w:val="single" w:sz="4" w:space="0" w:color="auto"/>
              <w:right w:val="single" w:sz="4" w:space="0" w:color="auto"/>
            </w:tcBorders>
            <w:shd w:val="clear" w:color="auto" w:fill="F2F2F2" w:themeFill="background1" w:themeFillShade="F2"/>
            <w:vAlign w:val="center"/>
          </w:tcPr>
          <w:p w14:paraId="31A3A79E" w14:textId="77777777" w:rsidR="00AF5156" w:rsidRDefault="00AF5156" w:rsidP="00AF5156">
            <w:pPr>
              <w:jc w:val="center"/>
              <w:rPr>
                <w:rFonts w:ascii="Calibri" w:hAnsi="Calibri" w:cs="Calibri"/>
                <w:color w:val="000000"/>
                <w:szCs w:val="22"/>
              </w:rPr>
            </w:pPr>
          </w:p>
        </w:tc>
      </w:tr>
      <w:tr w:rsidR="00AF5156" w:rsidRPr="005257A0" w14:paraId="70D77A7F" w14:textId="6E621550" w:rsidTr="002D47FF">
        <w:trPr>
          <w:trHeight w:val="288"/>
        </w:trPr>
        <w:tc>
          <w:tcPr>
            <w:tcW w:w="1967" w:type="dxa"/>
            <w:shd w:val="clear" w:color="auto" w:fill="C2D69B" w:themeFill="accent3" w:themeFillTint="99"/>
            <w:noWrap/>
            <w:vAlign w:val="bottom"/>
            <w:hideMark/>
          </w:tcPr>
          <w:p w14:paraId="1D31BEAB" w14:textId="77777777" w:rsidR="00AF5156" w:rsidRPr="005257A0" w:rsidRDefault="00AF5156" w:rsidP="00AF5156">
            <w:pPr>
              <w:jc w:val="center"/>
              <w:rPr>
                <w:rFonts w:eastAsia="Times New Roman"/>
                <w:color w:val="000000"/>
                <w:sz w:val="20"/>
                <w:lang w:eastAsia="en-US"/>
              </w:rPr>
            </w:pPr>
            <w:r w:rsidRPr="002D47FF">
              <w:rPr>
                <w:rFonts w:eastAsia="Times New Roman"/>
                <w:color w:val="000000"/>
                <w:sz w:val="20"/>
                <w:lang w:eastAsia="en-US"/>
              </w:rPr>
              <w:t>R18</w:t>
            </w:r>
          </w:p>
        </w:tc>
        <w:tc>
          <w:tcPr>
            <w:tcW w:w="960" w:type="dxa"/>
            <w:shd w:val="clear" w:color="auto" w:fill="F2F2F2" w:themeFill="background1" w:themeFillShade="F2"/>
            <w:noWrap/>
            <w:vAlign w:val="bottom"/>
            <w:hideMark/>
          </w:tcPr>
          <w:p w14:paraId="186C6DAE"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5</w:t>
            </w:r>
          </w:p>
        </w:tc>
        <w:tc>
          <w:tcPr>
            <w:tcW w:w="1061" w:type="dxa"/>
            <w:shd w:val="clear" w:color="auto" w:fill="F2F2F2" w:themeFill="background1" w:themeFillShade="F2"/>
            <w:noWrap/>
            <w:vAlign w:val="bottom"/>
            <w:hideMark/>
          </w:tcPr>
          <w:p w14:paraId="12B87199"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9</w:t>
            </w:r>
          </w:p>
        </w:tc>
        <w:tc>
          <w:tcPr>
            <w:tcW w:w="960" w:type="dxa"/>
            <w:shd w:val="clear" w:color="auto" w:fill="F2F2F2" w:themeFill="background1" w:themeFillShade="F2"/>
            <w:noWrap/>
            <w:vAlign w:val="bottom"/>
            <w:hideMark/>
          </w:tcPr>
          <w:p w14:paraId="48EAB5B3"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12</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6F4979ED" w14:textId="77777777" w:rsidR="00AF5156" w:rsidRPr="005257A0" w:rsidRDefault="00AF5156" w:rsidP="00AF5156">
            <w:pPr>
              <w:jc w:val="center"/>
              <w:rPr>
                <w:rFonts w:eastAsia="Times New Roman"/>
                <w:color w:val="000000"/>
                <w:sz w:val="20"/>
                <w:lang w:eastAsia="en-US"/>
              </w:rPr>
            </w:pPr>
            <w:r>
              <w:rPr>
                <w:rFonts w:ascii="Calibri" w:hAnsi="Calibri" w:cs="Calibri"/>
                <w:color w:val="000000"/>
                <w:szCs w:val="22"/>
              </w:rPr>
              <w:t>45</w:t>
            </w:r>
          </w:p>
        </w:tc>
        <w:tc>
          <w:tcPr>
            <w:tcW w:w="1547" w:type="dxa"/>
            <w:vMerge/>
            <w:tcBorders>
              <w:left w:val="single" w:sz="4" w:space="0" w:color="auto"/>
              <w:right w:val="single" w:sz="4" w:space="0" w:color="auto"/>
            </w:tcBorders>
            <w:shd w:val="clear" w:color="auto" w:fill="F2F2F2" w:themeFill="background1" w:themeFillShade="F2"/>
            <w:vAlign w:val="center"/>
          </w:tcPr>
          <w:p w14:paraId="43D891C0" w14:textId="77777777" w:rsidR="00AF5156" w:rsidRDefault="00AF5156" w:rsidP="00AF5156">
            <w:pPr>
              <w:jc w:val="center"/>
              <w:rPr>
                <w:rFonts w:ascii="Calibri" w:hAnsi="Calibri" w:cs="Calibri"/>
                <w:color w:val="000000"/>
                <w:szCs w:val="22"/>
              </w:rPr>
            </w:pPr>
          </w:p>
        </w:tc>
      </w:tr>
      <w:tr w:rsidR="00AF5156" w:rsidRPr="005257A0" w14:paraId="24C08D84" w14:textId="665C5DF8" w:rsidTr="00FF5A58">
        <w:trPr>
          <w:trHeight w:val="288"/>
        </w:trPr>
        <w:tc>
          <w:tcPr>
            <w:tcW w:w="1967" w:type="dxa"/>
            <w:shd w:val="clear" w:color="auto" w:fill="F2F2F2" w:themeFill="background1" w:themeFillShade="F2"/>
            <w:noWrap/>
            <w:vAlign w:val="bottom"/>
            <w:hideMark/>
          </w:tcPr>
          <w:p w14:paraId="15834EA7"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R26</w:t>
            </w:r>
          </w:p>
        </w:tc>
        <w:tc>
          <w:tcPr>
            <w:tcW w:w="960" w:type="dxa"/>
            <w:shd w:val="clear" w:color="auto" w:fill="F2F2F2" w:themeFill="background1" w:themeFillShade="F2"/>
            <w:noWrap/>
            <w:vAlign w:val="bottom"/>
            <w:hideMark/>
          </w:tcPr>
          <w:p w14:paraId="696D2186"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5</w:t>
            </w:r>
          </w:p>
        </w:tc>
        <w:tc>
          <w:tcPr>
            <w:tcW w:w="1061" w:type="dxa"/>
            <w:shd w:val="clear" w:color="auto" w:fill="F2F2F2" w:themeFill="background1" w:themeFillShade="F2"/>
            <w:noWrap/>
            <w:vAlign w:val="bottom"/>
            <w:hideMark/>
          </w:tcPr>
          <w:p w14:paraId="1AAC0F1D"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11</w:t>
            </w:r>
          </w:p>
        </w:tc>
        <w:tc>
          <w:tcPr>
            <w:tcW w:w="960" w:type="dxa"/>
            <w:shd w:val="clear" w:color="auto" w:fill="F2F2F2" w:themeFill="background1" w:themeFillShade="F2"/>
            <w:noWrap/>
            <w:vAlign w:val="bottom"/>
            <w:hideMark/>
          </w:tcPr>
          <w:p w14:paraId="55CC818F"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7</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2193235E" w14:textId="77777777" w:rsidR="00AF5156" w:rsidRPr="005257A0" w:rsidRDefault="00AF5156" w:rsidP="00AF5156">
            <w:pPr>
              <w:jc w:val="center"/>
              <w:rPr>
                <w:rFonts w:eastAsia="Times New Roman"/>
                <w:color w:val="000000"/>
                <w:sz w:val="20"/>
                <w:lang w:eastAsia="en-US"/>
              </w:rPr>
            </w:pPr>
            <w:r>
              <w:rPr>
                <w:rFonts w:ascii="Calibri" w:hAnsi="Calibri" w:cs="Calibri"/>
                <w:color w:val="000000"/>
                <w:szCs w:val="22"/>
              </w:rPr>
              <w:t>44</w:t>
            </w:r>
          </w:p>
        </w:tc>
        <w:tc>
          <w:tcPr>
            <w:tcW w:w="1547" w:type="dxa"/>
            <w:vMerge/>
            <w:tcBorders>
              <w:left w:val="single" w:sz="4" w:space="0" w:color="auto"/>
              <w:right w:val="single" w:sz="4" w:space="0" w:color="auto"/>
            </w:tcBorders>
            <w:shd w:val="clear" w:color="auto" w:fill="F2F2F2" w:themeFill="background1" w:themeFillShade="F2"/>
            <w:vAlign w:val="center"/>
          </w:tcPr>
          <w:p w14:paraId="008DF087" w14:textId="77777777" w:rsidR="00AF5156" w:rsidRDefault="00AF5156" w:rsidP="00AF5156">
            <w:pPr>
              <w:jc w:val="center"/>
              <w:rPr>
                <w:rFonts w:ascii="Calibri" w:hAnsi="Calibri" w:cs="Calibri"/>
                <w:color w:val="000000"/>
                <w:szCs w:val="22"/>
              </w:rPr>
            </w:pPr>
          </w:p>
        </w:tc>
      </w:tr>
      <w:tr w:rsidR="00AF5156" w:rsidRPr="005257A0" w14:paraId="3032B297" w14:textId="60512111" w:rsidTr="002D47FF">
        <w:trPr>
          <w:trHeight w:val="288"/>
        </w:trPr>
        <w:tc>
          <w:tcPr>
            <w:tcW w:w="1967" w:type="dxa"/>
            <w:shd w:val="clear" w:color="auto" w:fill="C2D69B" w:themeFill="accent3" w:themeFillTint="99"/>
            <w:noWrap/>
            <w:vAlign w:val="bottom"/>
            <w:hideMark/>
          </w:tcPr>
          <w:p w14:paraId="0A01B58E" w14:textId="77777777" w:rsidR="00AF5156" w:rsidRPr="005257A0" w:rsidRDefault="00AF5156" w:rsidP="00AF5156">
            <w:pPr>
              <w:jc w:val="center"/>
              <w:rPr>
                <w:rFonts w:eastAsia="Times New Roman"/>
                <w:color w:val="000000"/>
                <w:sz w:val="20"/>
                <w:lang w:eastAsia="en-US"/>
              </w:rPr>
            </w:pPr>
            <w:r w:rsidRPr="002D47FF">
              <w:rPr>
                <w:rFonts w:eastAsia="Times New Roman"/>
                <w:color w:val="000000"/>
                <w:sz w:val="20"/>
                <w:lang w:eastAsia="en-US"/>
              </w:rPr>
              <w:t>R15</w:t>
            </w:r>
          </w:p>
        </w:tc>
        <w:tc>
          <w:tcPr>
            <w:tcW w:w="960" w:type="dxa"/>
            <w:shd w:val="clear" w:color="auto" w:fill="F2F2F2" w:themeFill="background1" w:themeFillShade="F2"/>
            <w:noWrap/>
            <w:vAlign w:val="bottom"/>
            <w:hideMark/>
          </w:tcPr>
          <w:p w14:paraId="7E9ECFB0"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4</w:t>
            </w:r>
          </w:p>
        </w:tc>
        <w:tc>
          <w:tcPr>
            <w:tcW w:w="1061" w:type="dxa"/>
            <w:shd w:val="clear" w:color="auto" w:fill="F2F2F2" w:themeFill="background1" w:themeFillShade="F2"/>
            <w:noWrap/>
            <w:vAlign w:val="bottom"/>
            <w:hideMark/>
          </w:tcPr>
          <w:p w14:paraId="2D92A19A"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11</w:t>
            </w:r>
          </w:p>
        </w:tc>
        <w:tc>
          <w:tcPr>
            <w:tcW w:w="960" w:type="dxa"/>
            <w:shd w:val="clear" w:color="auto" w:fill="F2F2F2" w:themeFill="background1" w:themeFillShade="F2"/>
            <w:noWrap/>
            <w:vAlign w:val="bottom"/>
            <w:hideMark/>
          </w:tcPr>
          <w:p w14:paraId="6D4E64CA"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10</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737D7D09" w14:textId="77777777" w:rsidR="00AF5156" w:rsidRPr="005257A0" w:rsidRDefault="00AF5156" w:rsidP="00AF5156">
            <w:pPr>
              <w:jc w:val="center"/>
              <w:rPr>
                <w:rFonts w:eastAsia="Times New Roman"/>
                <w:color w:val="000000"/>
                <w:sz w:val="20"/>
                <w:lang w:eastAsia="en-US"/>
              </w:rPr>
            </w:pPr>
            <w:r>
              <w:rPr>
                <w:rFonts w:ascii="Calibri" w:hAnsi="Calibri" w:cs="Calibri"/>
                <w:color w:val="000000"/>
                <w:szCs w:val="22"/>
              </w:rPr>
              <w:t>44</w:t>
            </w:r>
          </w:p>
        </w:tc>
        <w:tc>
          <w:tcPr>
            <w:tcW w:w="1547" w:type="dxa"/>
            <w:vMerge/>
            <w:tcBorders>
              <w:left w:val="single" w:sz="4" w:space="0" w:color="auto"/>
              <w:right w:val="single" w:sz="4" w:space="0" w:color="auto"/>
            </w:tcBorders>
            <w:shd w:val="clear" w:color="auto" w:fill="F2F2F2" w:themeFill="background1" w:themeFillShade="F2"/>
            <w:vAlign w:val="center"/>
          </w:tcPr>
          <w:p w14:paraId="236E6198" w14:textId="77777777" w:rsidR="00AF5156" w:rsidRDefault="00AF5156" w:rsidP="00AF5156">
            <w:pPr>
              <w:jc w:val="center"/>
              <w:rPr>
                <w:rFonts w:ascii="Calibri" w:hAnsi="Calibri" w:cs="Calibri"/>
                <w:color w:val="000000"/>
                <w:szCs w:val="22"/>
              </w:rPr>
            </w:pPr>
          </w:p>
        </w:tc>
      </w:tr>
      <w:tr w:rsidR="00AF5156" w:rsidRPr="005257A0" w14:paraId="6EDE7839" w14:textId="5CA2D00B" w:rsidTr="00FF5A58">
        <w:trPr>
          <w:trHeight w:val="288"/>
        </w:trPr>
        <w:tc>
          <w:tcPr>
            <w:tcW w:w="1967" w:type="dxa"/>
            <w:shd w:val="clear" w:color="auto" w:fill="F2F2F2" w:themeFill="background1" w:themeFillShade="F2"/>
            <w:noWrap/>
            <w:vAlign w:val="bottom"/>
            <w:hideMark/>
          </w:tcPr>
          <w:p w14:paraId="23FA091F"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R17</w:t>
            </w:r>
          </w:p>
        </w:tc>
        <w:tc>
          <w:tcPr>
            <w:tcW w:w="960" w:type="dxa"/>
            <w:shd w:val="clear" w:color="auto" w:fill="F2F2F2" w:themeFill="background1" w:themeFillShade="F2"/>
            <w:noWrap/>
            <w:vAlign w:val="bottom"/>
            <w:hideMark/>
          </w:tcPr>
          <w:p w14:paraId="4A3CC1ED"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3</w:t>
            </w:r>
          </w:p>
        </w:tc>
        <w:tc>
          <w:tcPr>
            <w:tcW w:w="1061" w:type="dxa"/>
            <w:shd w:val="clear" w:color="auto" w:fill="F2F2F2" w:themeFill="background1" w:themeFillShade="F2"/>
            <w:noWrap/>
            <w:vAlign w:val="bottom"/>
            <w:hideMark/>
          </w:tcPr>
          <w:p w14:paraId="17E88EDF"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12</w:t>
            </w:r>
          </w:p>
        </w:tc>
        <w:tc>
          <w:tcPr>
            <w:tcW w:w="960" w:type="dxa"/>
            <w:shd w:val="clear" w:color="auto" w:fill="F2F2F2" w:themeFill="background1" w:themeFillShade="F2"/>
            <w:noWrap/>
            <w:vAlign w:val="bottom"/>
            <w:hideMark/>
          </w:tcPr>
          <w:p w14:paraId="4FBDB875"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11</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3C5A4A3A" w14:textId="77777777" w:rsidR="00AF5156" w:rsidRPr="005257A0" w:rsidRDefault="00AF5156" w:rsidP="00AF5156">
            <w:pPr>
              <w:jc w:val="center"/>
              <w:rPr>
                <w:rFonts w:eastAsia="Times New Roman"/>
                <w:color w:val="000000"/>
                <w:sz w:val="20"/>
                <w:lang w:eastAsia="en-US"/>
              </w:rPr>
            </w:pPr>
            <w:r>
              <w:rPr>
                <w:rFonts w:ascii="Calibri" w:hAnsi="Calibri" w:cs="Calibri"/>
                <w:color w:val="000000"/>
                <w:szCs w:val="22"/>
              </w:rPr>
              <w:t>44</w:t>
            </w:r>
          </w:p>
        </w:tc>
        <w:tc>
          <w:tcPr>
            <w:tcW w:w="1547" w:type="dxa"/>
            <w:vMerge/>
            <w:tcBorders>
              <w:left w:val="single" w:sz="4" w:space="0" w:color="auto"/>
              <w:right w:val="single" w:sz="4" w:space="0" w:color="auto"/>
            </w:tcBorders>
            <w:shd w:val="clear" w:color="auto" w:fill="F2F2F2" w:themeFill="background1" w:themeFillShade="F2"/>
            <w:vAlign w:val="center"/>
          </w:tcPr>
          <w:p w14:paraId="6D142F4D" w14:textId="77777777" w:rsidR="00AF5156" w:rsidRDefault="00AF5156" w:rsidP="00AF5156">
            <w:pPr>
              <w:jc w:val="center"/>
              <w:rPr>
                <w:rFonts w:ascii="Calibri" w:hAnsi="Calibri" w:cs="Calibri"/>
                <w:color w:val="000000"/>
                <w:szCs w:val="22"/>
              </w:rPr>
            </w:pPr>
          </w:p>
        </w:tc>
      </w:tr>
      <w:tr w:rsidR="00AF5156" w:rsidRPr="005257A0" w14:paraId="18F429B2" w14:textId="3A67A019" w:rsidTr="00FF5A58">
        <w:trPr>
          <w:trHeight w:val="288"/>
        </w:trPr>
        <w:tc>
          <w:tcPr>
            <w:tcW w:w="1967" w:type="dxa"/>
            <w:shd w:val="clear" w:color="auto" w:fill="F2F2F2" w:themeFill="background1" w:themeFillShade="F2"/>
            <w:noWrap/>
            <w:vAlign w:val="bottom"/>
            <w:hideMark/>
          </w:tcPr>
          <w:p w14:paraId="67B704C9"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R36</w:t>
            </w:r>
          </w:p>
        </w:tc>
        <w:tc>
          <w:tcPr>
            <w:tcW w:w="960" w:type="dxa"/>
            <w:shd w:val="clear" w:color="auto" w:fill="F2F2F2" w:themeFill="background1" w:themeFillShade="F2"/>
            <w:noWrap/>
            <w:vAlign w:val="bottom"/>
            <w:hideMark/>
          </w:tcPr>
          <w:p w14:paraId="733F8A61"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4</w:t>
            </w:r>
          </w:p>
        </w:tc>
        <w:tc>
          <w:tcPr>
            <w:tcW w:w="1061" w:type="dxa"/>
            <w:shd w:val="clear" w:color="auto" w:fill="F2F2F2" w:themeFill="background1" w:themeFillShade="F2"/>
            <w:noWrap/>
            <w:vAlign w:val="bottom"/>
            <w:hideMark/>
          </w:tcPr>
          <w:p w14:paraId="67AC92A3"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11</w:t>
            </w:r>
          </w:p>
        </w:tc>
        <w:tc>
          <w:tcPr>
            <w:tcW w:w="960" w:type="dxa"/>
            <w:shd w:val="clear" w:color="auto" w:fill="F2F2F2" w:themeFill="background1" w:themeFillShade="F2"/>
            <w:noWrap/>
            <w:vAlign w:val="bottom"/>
            <w:hideMark/>
          </w:tcPr>
          <w:p w14:paraId="62826A87"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9</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03DABCA" w14:textId="77777777" w:rsidR="00AF5156" w:rsidRPr="005257A0" w:rsidRDefault="00AF5156" w:rsidP="00AF5156">
            <w:pPr>
              <w:jc w:val="center"/>
              <w:rPr>
                <w:rFonts w:eastAsia="Times New Roman"/>
                <w:color w:val="000000"/>
                <w:sz w:val="20"/>
                <w:lang w:eastAsia="en-US"/>
              </w:rPr>
            </w:pPr>
            <w:r>
              <w:rPr>
                <w:rFonts w:ascii="Calibri" w:hAnsi="Calibri" w:cs="Calibri"/>
                <w:color w:val="000000"/>
                <w:szCs w:val="22"/>
              </w:rPr>
              <w:t>43</w:t>
            </w:r>
          </w:p>
        </w:tc>
        <w:tc>
          <w:tcPr>
            <w:tcW w:w="1547" w:type="dxa"/>
            <w:vMerge/>
            <w:tcBorders>
              <w:left w:val="single" w:sz="4" w:space="0" w:color="auto"/>
              <w:right w:val="single" w:sz="4" w:space="0" w:color="auto"/>
            </w:tcBorders>
            <w:shd w:val="clear" w:color="auto" w:fill="F2F2F2" w:themeFill="background1" w:themeFillShade="F2"/>
            <w:vAlign w:val="center"/>
          </w:tcPr>
          <w:p w14:paraId="3475B420" w14:textId="77777777" w:rsidR="00AF5156" w:rsidRDefault="00AF5156" w:rsidP="00AF5156">
            <w:pPr>
              <w:jc w:val="center"/>
              <w:rPr>
                <w:rFonts w:ascii="Calibri" w:hAnsi="Calibri" w:cs="Calibri"/>
                <w:color w:val="000000"/>
                <w:szCs w:val="22"/>
              </w:rPr>
            </w:pPr>
          </w:p>
        </w:tc>
      </w:tr>
      <w:tr w:rsidR="00AF5156" w:rsidRPr="005257A0" w14:paraId="11A2C17E" w14:textId="228C0FAF" w:rsidTr="002D47FF">
        <w:trPr>
          <w:trHeight w:val="288"/>
        </w:trPr>
        <w:tc>
          <w:tcPr>
            <w:tcW w:w="1967" w:type="dxa"/>
            <w:shd w:val="clear" w:color="auto" w:fill="FABF8F" w:themeFill="accent6" w:themeFillTint="99"/>
            <w:noWrap/>
            <w:vAlign w:val="bottom"/>
            <w:hideMark/>
          </w:tcPr>
          <w:p w14:paraId="69F045D0" w14:textId="77777777" w:rsidR="00AF5156" w:rsidRPr="005257A0" w:rsidRDefault="00AF5156" w:rsidP="00AF5156">
            <w:pPr>
              <w:jc w:val="center"/>
              <w:rPr>
                <w:rFonts w:eastAsia="Times New Roman"/>
                <w:color w:val="000000"/>
                <w:sz w:val="20"/>
                <w:lang w:eastAsia="en-US"/>
              </w:rPr>
            </w:pPr>
            <w:r w:rsidRPr="002D47FF">
              <w:rPr>
                <w:rFonts w:eastAsia="Times New Roman"/>
                <w:color w:val="000000"/>
                <w:sz w:val="20"/>
                <w:lang w:eastAsia="en-US"/>
              </w:rPr>
              <w:t>R24</w:t>
            </w:r>
          </w:p>
        </w:tc>
        <w:tc>
          <w:tcPr>
            <w:tcW w:w="960" w:type="dxa"/>
            <w:shd w:val="clear" w:color="auto" w:fill="F2F2F2" w:themeFill="background1" w:themeFillShade="F2"/>
            <w:noWrap/>
            <w:vAlign w:val="bottom"/>
            <w:hideMark/>
          </w:tcPr>
          <w:p w14:paraId="41B32696"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6</w:t>
            </w:r>
          </w:p>
        </w:tc>
        <w:tc>
          <w:tcPr>
            <w:tcW w:w="1061" w:type="dxa"/>
            <w:shd w:val="clear" w:color="auto" w:fill="F2F2F2" w:themeFill="background1" w:themeFillShade="F2"/>
            <w:noWrap/>
            <w:vAlign w:val="bottom"/>
            <w:hideMark/>
          </w:tcPr>
          <w:p w14:paraId="10DC2329"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8</w:t>
            </w:r>
          </w:p>
        </w:tc>
        <w:tc>
          <w:tcPr>
            <w:tcW w:w="960" w:type="dxa"/>
            <w:shd w:val="clear" w:color="auto" w:fill="F2F2F2" w:themeFill="background1" w:themeFillShade="F2"/>
            <w:noWrap/>
            <w:vAlign w:val="bottom"/>
            <w:hideMark/>
          </w:tcPr>
          <w:p w14:paraId="683D8720"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8</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B75CF69" w14:textId="77777777" w:rsidR="00AF5156" w:rsidRPr="005257A0" w:rsidRDefault="00AF5156" w:rsidP="00AF5156">
            <w:pPr>
              <w:jc w:val="center"/>
              <w:rPr>
                <w:rFonts w:eastAsia="Times New Roman"/>
                <w:color w:val="000000"/>
                <w:sz w:val="20"/>
                <w:lang w:eastAsia="en-US"/>
              </w:rPr>
            </w:pPr>
            <w:r>
              <w:rPr>
                <w:rFonts w:ascii="Calibri" w:hAnsi="Calibri" w:cs="Calibri"/>
                <w:color w:val="000000"/>
                <w:szCs w:val="22"/>
              </w:rPr>
              <w:t>42</w:t>
            </w:r>
          </w:p>
        </w:tc>
        <w:tc>
          <w:tcPr>
            <w:tcW w:w="1547"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242812A" w14:textId="77777777" w:rsidR="00AF5156" w:rsidRDefault="00AF5156" w:rsidP="00AF5156">
            <w:pPr>
              <w:jc w:val="center"/>
              <w:rPr>
                <w:rFonts w:ascii="Calibri" w:hAnsi="Calibri" w:cs="Calibri"/>
                <w:color w:val="000000"/>
                <w:szCs w:val="22"/>
              </w:rPr>
            </w:pPr>
          </w:p>
        </w:tc>
      </w:tr>
      <w:tr w:rsidR="00AF5156" w:rsidRPr="005257A0" w14:paraId="4ED65969" w14:textId="7C622B3B" w:rsidTr="00BE6440">
        <w:trPr>
          <w:trHeight w:val="288"/>
        </w:trPr>
        <w:tc>
          <w:tcPr>
            <w:tcW w:w="1967" w:type="dxa"/>
            <w:shd w:val="clear" w:color="auto" w:fill="auto"/>
            <w:noWrap/>
            <w:vAlign w:val="bottom"/>
            <w:hideMark/>
          </w:tcPr>
          <w:p w14:paraId="2BE5CA27"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R33</w:t>
            </w:r>
          </w:p>
        </w:tc>
        <w:tc>
          <w:tcPr>
            <w:tcW w:w="960" w:type="dxa"/>
            <w:shd w:val="clear" w:color="auto" w:fill="auto"/>
            <w:noWrap/>
            <w:vAlign w:val="bottom"/>
            <w:hideMark/>
          </w:tcPr>
          <w:p w14:paraId="298909AB"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2</w:t>
            </w:r>
          </w:p>
        </w:tc>
        <w:tc>
          <w:tcPr>
            <w:tcW w:w="1061" w:type="dxa"/>
            <w:shd w:val="clear" w:color="auto" w:fill="auto"/>
            <w:noWrap/>
            <w:vAlign w:val="bottom"/>
            <w:hideMark/>
          </w:tcPr>
          <w:p w14:paraId="0944B440"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5</w:t>
            </w:r>
          </w:p>
        </w:tc>
        <w:tc>
          <w:tcPr>
            <w:tcW w:w="960" w:type="dxa"/>
            <w:shd w:val="clear" w:color="auto" w:fill="auto"/>
            <w:noWrap/>
            <w:vAlign w:val="bottom"/>
            <w:hideMark/>
          </w:tcPr>
          <w:p w14:paraId="2BC3A789"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16</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BFEF3A9" w14:textId="77777777" w:rsidR="00AF5156" w:rsidRPr="005257A0" w:rsidRDefault="00AF5156" w:rsidP="00AF5156">
            <w:pPr>
              <w:jc w:val="center"/>
              <w:rPr>
                <w:rFonts w:eastAsia="Times New Roman"/>
                <w:color w:val="000000"/>
                <w:sz w:val="20"/>
                <w:lang w:eastAsia="en-US"/>
              </w:rPr>
            </w:pPr>
            <w:r>
              <w:rPr>
                <w:rFonts w:ascii="Calibri" w:hAnsi="Calibri" w:cs="Calibri"/>
                <w:color w:val="000000"/>
                <w:szCs w:val="22"/>
              </w:rPr>
              <w:t>32</w:t>
            </w:r>
          </w:p>
        </w:tc>
        <w:tc>
          <w:tcPr>
            <w:tcW w:w="1547" w:type="dxa"/>
            <w:vMerge w:val="restart"/>
            <w:tcBorders>
              <w:top w:val="single" w:sz="4" w:space="0" w:color="auto"/>
              <w:left w:val="single" w:sz="4" w:space="0" w:color="auto"/>
              <w:right w:val="single" w:sz="4" w:space="0" w:color="auto"/>
            </w:tcBorders>
            <w:vAlign w:val="center"/>
          </w:tcPr>
          <w:p w14:paraId="5D2163C1" w14:textId="5B8BB02D" w:rsidR="00AF5156" w:rsidRDefault="00AF5156" w:rsidP="00AF5156">
            <w:pPr>
              <w:jc w:val="center"/>
              <w:rPr>
                <w:rFonts w:ascii="Calibri" w:hAnsi="Calibri" w:cs="Calibri"/>
                <w:color w:val="000000"/>
                <w:szCs w:val="22"/>
              </w:rPr>
            </w:pPr>
            <w:r w:rsidRPr="005257A0">
              <w:rPr>
                <w:rFonts w:eastAsia="Times New Roman"/>
                <w:color w:val="000000"/>
                <w:sz w:val="20"/>
                <w:lang w:eastAsia="en-US"/>
              </w:rPr>
              <w:t>E</w:t>
            </w:r>
          </w:p>
        </w:tc>
      </w:tr>
      <w:tr w:rsidR="00AF5156" w:rsidRPr="005257A0" w14:paraId="315F4AAE" w14:textId="64FCBD8D" w:rsidTr="002D47FF">
        <w:trPr>
          <w:trHeight w:val="288"/>
        </w:trPr>
        <w:tc>
          <w:tcPr>
            <w:tcW w:w="1967" w:type="dxa"/>
            <w:shd w:val="clear" w:color="auto" w:fill="C2D69B" w:themeFill="accent3" w:themeFillTint="99"/>
            <w:noWrap/>
            <w:vAlign w:val="bottom"/>
            <w:hideMark/>
          </w:tcPr>
          <w:p w14:paraId="1030E1C5" w14:textId="77777777" w:rsidR="00AF5156" w:rsidRPr="005257A0" w:rsidRDefault="00AF5156" w:rsidP="00AF5156">
            <w:pPr>
              <w:jc w:val="center"/>
              <w:rPr>
                <w:rFonts w:eastAsia="Times New Roman"/>
                <w:color w:val="000000"/>
                <w:sz w:val="20"/>
                <w:lang w:eastAsia="en-US"/>
              </w:rPr>
            </w:pPr>
            <w:r w:rsidRPr="002D47FF">
              <w:rPr>
                <w:rFonts w:eastAsia="Times New Roman"/>
                <w:color w:val="000000"/>
                <w:sz w:val="20"/>
                <w:lang w:eastAsia="en-US"/>
              </w:rPr>
              <w:t>R38</w:t>
            </w:r>
          </w:p>
        </w:tc>
        <w:tc>
          <w:tcPr>
            <w:tcW w:w="960" w:type="dxa"/>
            <w:shd w:val="clear" w:color="auto" w:fill="auto"/>
            <w:noWrap/>
            <w:vAlign w:val="bottom"/>
            <w:hideMark/>
          </w:tcPr>
          <w:p w14:paraId="3E520720"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w:t>
            </w:r>
          </w:p>
        </w:tc>
        <w:tc>
          <w:tcPr>
            <w:tcW w:w="1061" w:type="dxa"/>
            <w:shd w:val="clear" w:color="auto" w:fill="auto"/>
            <w:noWrap/>
            <w:vAlign w:val="bottom"/>
            <w:hideMark/>
          </w:tcPr>
          <w:p w14:paraId="6BE8382E"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7</w:t>
            </w:r>
          </w:p>
        </w:tc>
        <w:tc>
          <w:tcPr>
            <w:tcW w:w="960" w:type="dxa"/>
            <w:shd w:val="clear" w:color="auto" w:fill="auto"/>
            <w:noWrap/>
            <w:vAlign w:val="bottom"/>
            <w:hideMark/>
          </w:tcPr>
          <w:p w14:paraId="46C02995" w14:textId="77777777" w:rsidR="00AF5156" w:rsidRPr="005257A0" w:rsidRDefault="00AF5156" w:rsidP="00AF5156">
            <w:pPr>
              <w:jc w:val="center"/>
              <w:rPr>
                <w:rFonts w:eastAsia="Times New Roman"/>
                <w:color w:val="000000"/>
                <w:sz w:val="20"/>
                <w:lang w:eastAsia="en-US"/>
              </w:rPr>
            </w:pPr>
            <w:r w:rsidRPr="005257A0">
              <w:rPr>
                <w:rFonts w:eastAsia="Times New Roman"/>
                <w:color w:val="000000"/>
                <w:sz w:val="20"/>
                <w:lang w:eastAsia="en-US"/>
              </w:rPr>
              <w:t>15</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508101F" w14:textId="77777777" w:rsidR="00AF5156" w:rsidRPr="005257A0" w:rsidRDefault="00AF5156" w:rsidP="00AF5156">
            <w:pPr>
              <w:jc w:val="center"/>
              <w:rPr>
                <w:rFonts w:eastAsia="Times New Roman"/>
                <w:color w:val="000000"/>
                <w:sz w:val="20"/>
                <w:lang w:eastAsia="en-US"/>
              </w:rPr>
            </w:pPr>
            <w:r>
              <w:rPr>
                <w:rFonts w:ascii="Calibri" w:hAnsi="Calibri" w:cs="Calibri"/>
                <w:color w:val="000000"/>
                <w:szCs w:val="22"/>
              </w:rPr>
              <w:t>32</w:t>
            </w:r>
          </w:p>
        </w:tc>
        <w:tc>
          <w:tcPr>
            <w:tcW w:w="1547" w:type="dxa"/>
            <w:vMerge/>
            <w:tcBorders>
              <w:left w:val="single" w:sz="4" w:space="0" w:color="auto"/>
              <w:bottom w:val="single" w:sz="4" w:space="0" w:color="auto"/>
              <w:right w:val="single" w:sz="4" w:space="0" w:color="auto"/>
            </w:tcBorders>
            <w:vAlign w:val="center"/>
          </w:tcPr>
          <w:p w14:paraId="4F00AD47" w14:textId="77777777" w:rsidR="00AF5156" w:rsidRDefault="00AF5156" w:rsidP="00AF5156">
            <w:pPr>
              <w:jc w:val="center"/>
              <w:rPr>
                <w:rFonts w:ascii="Calibri" w:hAnsi="Calibri" w:cs="Calibri"/>
                <w:color w:val="000000"/>
                <w:szCs w:val="22"/>
              </w:rPr>
            </w:pPr>
          </w:p>
        </w:tc>
      </w:tr>
    </w:tbl>
    <w:p w14:paraId="2C3AC9B0" w14:textId="70050431" w:rsidR="008A520D" w:rsidRDefault="008A520D" w:rsidP="005257A0">
      <w:pPr>
        <w:pStyle w:val="ONUMFS"/>
        <w:numPr>
          <w:ilvl w:val="0"/>
          <w:numId w:val="0"/>
        </w:numPr>
      </w:pPr>
      <w:r>
        <w:fldChar w:fldCharType="begin"/>
      </w:r>
      <w:r>
        <w:instrText xml:space="preserve"> AUTONUM  </w:instrText>
      </w:r>
      <w:r>
        <w:fldChar w:fldCharType="end"/>
      </w:r>
      <w:r>
        <w:tab/>
        <w:t xml:space="preserve">To compare the preferences for each recommendation, a score was calculated using a Borda count, which is a standard </w:t>
      </w:r>
      <w:r w:rsidR="001934BB">
        <w:t xml:space="preserve">mathematical </w:t>
      </w:r>
      <w:r>
        <w:t xml:space="preserve">method for </w:t>
      </w:r>
      <w:r w:rsidR="001934BB">
        <w:t xml:space="preserve">comparing preference selections.  The Borda count used here assigns </w:t>
      </w:r>
      <w:r w:rsidR="00AF5156">
        <w:t>3</w:t>
      </w:r>
      <w:r w:rsidR="001934BB">
        <w:t xml:space="preserve"> points for High votes, </w:t>
      </w:r>
      <w:r w:rsidR="00AF5156">
        <w:t>2</w:t>
      </w:r>
      <w:r w:rsidR="001934BB">
        <w:t xml:space="preserve"> point for Medium votes, and </w:t>
      </w:r>
      <w:r w:rsidR="00AF5156">
        <w:t>1</w:t>
      </w:r>
      <w:r w:rsidR="001934BB">
        <w:t xml:space="preserve"> point for Low votes.  </w:t>
      </w:r>
      <w:r w:rsidR="00542C43">
        <w:t xml:space="preserve">Given that ICT Strategy </w:t>
      </w:r>
      <w:r w:rsidR="000467AF">
        <w:t xml:space="preserve">for Standards </w:t>
      </w:r>
      <w:r w:rsidR="00542C43">
        <w:t>Task Force has limited resources available and a large number of recommendations, it makes sense to start by focusing on r</w:t>
      </w:r>
      <w:r w:rsidR="001934BB">
        <w:t xml:space="preserve">ecommendations </w:t>
      </w:r>
      <w:r w:rsidR="00542C43">
        <w:t xml:space="preserve">with stronger </w:t>
      </w:r>
      <w:r w:rsidR="001934BB">
        <w:t>support</w:t>
      </w:r>
      <w:r w:rsidR="00542C43">
        <w:t>.</w:t>
      </w:r>
    </w:p>
    <w:p w14:paraId="665839C1" w14:textId="0F6643DA" w:rsidR="00542C43" w:rsidRDefault="00542C43" w:rsidP="005257A0">
      <w:pPr>
        <w:pStyle w:val="ONUMFS"/>
        <w:numPr>
          <w:ilvl w:val="0"/>
          <w:numId w:val="0"/>
        </w:numPr>
      </w:pPr>
      <w:r>
        <w:fldChar w:fldCharType="begin"/>
      </w:r>
      <w:r>
        <w:instrText xml:space="preserve"> AUTONUM  </w:instrText>
      </w:r>
      <w:r>
        <w:fldChar w:fldCharType="end"/>
      </w:r>
      <w:r>
        <w:tab/>
        <w:t xml:space="preserve">The table above sorts recommendations by their Borda score.  The recommendations were then split into </w:t>
      </w:r>
      <w:r w:rsidR="005E45A3">
        <w:t>categories</w:t>
      </w:r>
      <w:r>
        <w:t xml:space="preserve"> based on score.  </w:t>
      </w:r>
      <w:r w:rsidR="005E45A3">
        <w:t>Category</w:t>
      </w:r>
      <w:r>
        <w:t xml:space="preserve"> A has recommendations with the highest level of support, characterized by many High votes and almost no Low votes.  </w:t>
      </w:r>
      <w:r w:rsidR="005E45A3">
        <w:t>Category</w:t>
      </w:r>
      <w:r>
        <w:t xml:space="preserve"> B recommendations have moderate high support, with double digit High votes and a small number of Low votes.  </w:t>
      </w:r>
      <w:r w:rsidR="005E45A3">
        <w:t>Category</w:t>
      </w:r>
      <w:r>
        <w:t xml:space="preserve"> C recommendations have moderate support, with </w:t>
      </w:r>
      <w:r w:rsidR="00FD3E1A">
        <w:t xml:space="preserve">slightly more or equal High votes to Low votes.  </w:t>
      </w:r>
      <w:r w:rsidR="005E45A3">
        <w:t>Category</w:t>
      </w:r>
      <w:r w:rsidR="00FD3E1A">
        <w:t xml:space="preserve"> D recommendations have mixed support, with large numbers of Medium votes but generally more Low votes than High votes.  </w:t>
      </w:r>
      <w:r w:rsidR="005E45A3">
        <w:t>Category</w:t>
      </w:r>
      <w:r w:rsidR="00FD3E1A">
        <w:t xml:space="preserve"> E recommendations have limited support, with very few High or Medium votes.</w:t>
      </w:r>
      <w:r w:rsidR="008C0FB3">
        <w:t xml:space="preserve">  The full text of the recommendations in each </w:t>
      </w:r>
      <w:r w:rsidR="005E45A3">
        <w:t>category</w:t>
      </w:r>
      <w:r w:rsidR="008C0FB3">
        <w:t xml:space="preserve"> are shown in </w:t>
      </w:r>
      <w:r w:rsidR="00026BBB">
        <w:t>A</w:t>
      </w:r>
      <w:r w:rsidR="008C0FB3">
        <w:t xml:space="preserve">nnex </w:t>
      </w:r>
      <w:r w:rsidR="00026BBB">
        <w:t xml:space="preserve">II </w:t>
      </w:r>
      <w:r w:rsidR="008C0FB3">
        <w:t>to the present document.</w:t>
      </w:r>
      <w:r w:rsidR="00435AC9">
        <w:t xml:space="preserve">  </w:t>
      </w:r>
    </w:p>
    <w:p w14:paraId="61AC92A1" w14:textId="2C146FD3" w:rsidR="008C0FB3" w:rsidRDefault="00FD3E1A" w:rsidP="005257A0">
      <w:pPr>
        <w:pStyle w:val="ONUMFS"/>
        <w:numPr>
          <w:ilvl w:val="0"/>
          <w:numId w:val="0"/>
        </w:numPr>
      </w:pPr>
      <w:r>
        <w:fldChar w:fldCharType="begin"/>
      </w:r>
      <w:r>
        <w:instrText xml:space="preserve"> AUTONUM  </w:instrText>
      </w:r>
      <w:r>
        <w:fldChar w:fldCharType="end"/>
      </w:r>
      <w:r>
        <w:tab/>
      </w:r>
      <w:r w:rsidR="00CA5243">
        <w:t>C</w:t>
      </w:r>
      <w:r w:rsidR="005E45A3">
        <w:t>ategories</w:t>
      </w:r>
      <w:r>
        <w:t xml:space="preserve"> </w:t>
      </w:r>
      <w:r w:rsidR="00435AC9">
        <w:t xml:space="preserve">A and E </w:t>
      </w:r>
      <w:r>
        <w:t>have well defined boundaries, with noticeable gaps in scoring.  The boundary between C and D is less well defined, and a case could be made for adjusting the boundary higher or lower</w:t>
      </w:r>
      <w:r w:rsidR="00993282">
        <w:t xml:space="preserve">, combining the two </w:t>
      </w:r>
      <w:r w:rsidR="005E45A3">
        <w:t>categories</w:t>
      </w:r>
      <w:r w:rsidR="00993282">
        <w:t>, or other approaches</w:t>
      </w:r>
      <w:r>
        <w:t xml:space="preserve">.  In any case, </w:t>
      </w:r>
      <w:r w:rsidR="00993282">
        <w:t xml:space="preserve">the differences </w:t>
      </w:r>
      <w:r w:rsidR="00AF5156">
        <w:t xml:space="preserve">between C and D </w:t>
      </w:r>
      <w:r w:rsidR="00435AC9">
        <w:t xml:space="preserve">may be </w:t>
      </w:r>
      <w:r w:rsidR="00993282">
        <w:t xml:space="preserve">less important than simply noting that many items in both </w:t>
      </w:r>
      <w:r w:rsidR="00435AC9">
        <w:t>categories</w:t>
      </w:r>
      <w:r w:rsidR="00993282">
        <w:t xml:space="preserve"> have broad support for Medium or High priority.</w:t>
      </w:r>
    </w:p>
    <w:p w14:paraId="34820B72" w14:textId="70C8F705" w:rsidR="00E160B0" w:rsidRPr="009A465A" w:rsidRDefault="000131EA" w:rsidP="005257A0">
      <w:pPr>
        <w:pStyle w:val="ONUMFS"/>
        <w:numPr>
          <w:ilvl w:val="0"/>
          <w:numId w:val="0"/>
        </w:numPr>
        <w:rPr>
          <w:szCs w:val="22"/>
        </w:rPr>
      </w:pPr>
      <w:r>
        <w:fldChar w:fldCharType="begin"/>
      </w:r>
      <w:r>
        <w:instrText xml:space="preserve"> AUTONUM  </w:instrText>
      </w:r>
      <w:r>
        <w:fldChar w:fldCharType="end"/>
      </w:r>
      <w:r>
        <w:tab/>
      </w:r>
      <w:r w:rsidR="00E90061">
        <w:t>It is noted that the participating Offices had different interpretation</w:t>
      </w:r>
      <w:r w:rsidR="00AF5156">
        <w:t>s</w:t>
      </w:r>
      <w:r w:rsidR="00E90061">
        <w:t xml:space="preserve"> of the survey questionnaire and rated recommendations</w:t>
      </w:r>
      <w:r w:rsidR="00C15725">
        <w:t xml:space="preserve"> by different criteria</w:t>
      </w:r>
      <w:r w:rsidR="00E90061">
        <w:t xml:space="preserve">. </w:t>
      </w:r>
      <w:r w:rsidR="00137C26">
        <w:t xml:space="preserve"> </w:t>
      </w:r>
      <w:r w:rsidR="000A0718">
        <w:t>S</w:t>
      </w:r>
      <w:r w:rsidR="00E90061">
        <w:t xml:space="preserve">ome Offices gave a low priority vote </w:t>
      </w:r>
      <w:r w:rsidR="000A0718">
        <w:t xml:space="preserve">to a </w:t>
      </w:r>
      <w:r w:rsidR="00AF5156">
        <w:t>r</w:t>
      </w:r>
      <w:r w:rsidR="000A0718">
        <w:t xml:space="preserve">ecommendation </w:t>
      </w:r>
      <w:r w:rsidR="00E90061">
        <w:t xml:space="preserve">because they already implemented </w:t>
      </w:r>
      <w:r w:rsidR="00AF5156">
        <w:t xml:space="preserve">it, </w:t>
      </w:r>
      <w:r w:rsidR="00E90061">
        <w:t xml:space="preserve">while some others gave a high priority because the </w:t>
      </w:r>
      <w:r w:rsidR="00AF5156">
        <w:t>r</w:t>
      </w:r>
      <w:r w:rsidR="00E90061">
        <w:t xml:space="preserve">ecommendation </w:t>
      </w:r>
      <w:r w:rsidR="00AF5156">
        <w:t>is</w:t>
      </w:r>
      <w:r w:rsidR="00E90061">
        <w:t xml:space="preserve"> still important</w:t>
      </w:r>
      <w:r w:rsidR="000A0718">
        <w:t xml:space="preserve"> for Offices</w:t>
      </w:r>
      <w:r w:rsidR="00E90061">
        <w:t xml:space="preserve">.  </w:t>
      </w:r>
      <w:r w:rsidR="00137C26">
        <w:t xml:space="preserve">Furthermore, depending on the digitalization status at Offices, the </w:t>
      </w:r>
      <w:r w:rsidR="000A0718">
        <w:t xml:space="preserve">given </w:t>
      </w:r>
      <w:r w:rsidR="00137C26">
        <w:t>priority is different.  F</w:t>
      </w:r>
      <w:r w:rsidR="00E90061">
        <w:t xml:space="preserve">or example, </w:t>
      </w:r>
      <w:r w:rsidR="00E160B0">
        <w:t>R03 (</w:t>
      </w:r>
      <w:r w:rsidR="00E160B0" w:rsidRPr="00E160B0">
        <w:t>Back-file capturing of IP data by OCR conversion of image data</w:t>
      </w:r>
      <w:r w:rsidR="00E160B0">
        <w:t>)</w:t>
      </w:r>
      <w:r w:rsidR="00137C26">
        <w:t xml:space="preserve"> was indicated as a priority by</w:t>
      </w:r>
      <w:r w:rsidR="00E160B0">
        <w:t xml:space="preserve"> some </w:t>
      </w:r>
      <w:r w:rsidR="00E160B0" w:rsidRPr="00B05D4F">
        <w:rPr>
          <w:szCs w:val="22"/>
        </w:rPr>
        <w:t>Office</w:t>
      </w:r>
      <w:r w:rsidR="00137C26" w:rsidRPr="009A465A">
        <w:rPr>
          <w:szCs w:val="22"/>
        </w:rPr>
        <w:t>s which are in the early stage</w:t>
      </w:r>
      <w:r w:rsidR="00C15725" w:rsidRPr="009A465A">
        <w:rPr>
          <w:szCs w:val="22"/>
        </w:rPr>
        <w:t>s</w:t>
      </w:r>
      <w:r w:rsidR="00137C26" w:rsidRPr="009A465A">
        <w:rPr>
          <w:szCs w:val="22"/>
        </w:rPr>
        <w:t xml:space="preserve"> of digitalization.</w:t>
      </w:r>
    </w:p>
    <w:p w14:paraId="7BFDEFE6" w14:textId="381A4B3E" w:rsidR="000131EA" w:rsidRPr="009A465A" w:rsidRDefault="000131EA" w:rsidP="000131EA">
      <w:pPr>
        <w:pStyle w:val="ONUMFS"/>
        <w:numPr>
          <w:ilvl w:val="0"/>
          <w:numId w:val="0"/>
        </w:numPr>
        <w:rPr>
          <w:szCs w:val="22"/>
        </w:rPr>
      </w:pPr>
      <w:r w:rsidRPr="009A465A">
        <w:rPr>
          <w:szCs w:val="22"/>
        </w:rPr>
        <w:fldChar w:fldCharType="begin"/>
      </w:r>
      <w:r w:rsidRPr="009A465A">
        <w:rPr>
          <w:szCs w:val="22"/>
        </w:rPr>
        <w:instrText xml:space="preserve"> AUTONUM  </w:instrText>
      </w:r>
      <w:r w:rsidRPr="009A465A">
        <w:rPr>
          <w:szCs w:val="22"/>
        </w:rPr>
        <w:fldChar w:fldCharType="end"/>
      </w:r>
      <w:r w:rsidRPr="009A465A">
        <w:rPr>
          <w:szCs w:val="22"/>
        </w:rPr>
        <w:tab/>
      </w:r>
      <w:r w:rsidR="00137C26" w:rsidRPr="009A465A">
        <w:rPr>
          <w:szCs w:val="22"/>
        </w:rPr>
        <w:t>Priority rat</w:t>
      </w:r>
      <w:r w:rsidR="00C15725" w:rsidRPr="009A465A">
        <w:rPr>
          <w:szCs w:val="22"/>
        </w:rPr>
        <w:t>ings</w:t>
      </w:r>
      <w:r w:rsidR="00137C26" w:rsidRPr="009A465A">
        <w:rPr>
          <w:szCs w:val="22"/>
        </w:rPr>
        <w:t xml:space="preserve"> to certain Recommendations vary depending on the </w:t>
      </w:r>
      <w:r w:rsidR="000A0718" w:rsidRPr="009A465A">
        <w:rPr>
          <w:szCs w:val="22"/>
        </w:rPr>
        <w:t xml:space="preserve">business coverage of the </w:t>
      </w:r>
      <w:r w:rsidR="00137C26" w:rsidRPr="009A465A">
        <w:rPr>
          <w:szCs w:val="22"/>
        </w:rPr>
        <w:t>participating Offices</w:t>
      </w:r>
      <w:r w:rsidR="000A0718" w:rsidRPr="009A465A">
        <w:rPr>
          <w:szCs w:val="22"/>
        </w:rPr>
        <w:t xml:space="preserve">, e.g., some Recommendations related to patent business, which are not relevant to trademark Offices such as </w:t>
      </w:r>
      <w:r w:rsidR="00137C26" w:rsidRPr="009A465A">
        <w:rPr>
          <w:szCs w:val="22"/>
        </w:rPr>
        <w:t>EUIPO</w:t>
      </w:r>
      <w:r w:rsidR="000A0718" w:rsidRPr="009A465A">
        <w:rPr>
          <w:szCs w:val="22"/>
        </w:rPr>
        <w:t>.</w:t>
      </w:r>
      <w:r w:rsidRPr="009A465A">
        <w:rPr>
          <w:szCs w:val="22"/>
        </w:rPr>
        <w:t xml:space="preserve">  Some responses had no priority rank but </w:t>
      </w:r>
      <w:r w:rsidR="00C15725" w:rsidRPr="009A465A">
        <w:rPr>
          <w:szCs w:val="22"/>
        </w:rPr>
        <w:t xml:space="preserve">instead a comment </w:t>
      </w:r>
      <w:r w:rsidRPr="009A465A">
        <w:rPr>
          <w:szCs w:val="22"/>
        </w:rPr>
        <w:t>to clarify or indicate ‘not applicable’</w:t>
      </w:r>
      <w:r w:rsidR="00C15725" w:rsidRPr="009A465A">
        <w:rPr>
          <w:szCs w:val="22"/>
        </w:rPr>
        <w:t>; e.g., see</w:t>
      </w:r>
      <w:r w:rsidRPr="009A465A">
        <w:rPr>
          <w:szCs w:val="22"/>
        </w:rPr>
        <w:t xml:space="preserve"> US response to R14 and EP</w:t>
      </w:r>
      <w:r w:rsidR="007E771B">
        <w:rPr>
          <w:szCs w:val="22"/>
        </w:rPr>
        <w:t>O</w:t>
      </w:r>
      <w:r w:rsidRPr="009A465A">
        <w:rPr>
          <w:szCs w:val="22"/>
        </w:rPr>
        <w:t xml:space="preserve"> and NZ responses to R32, respectively. </w:t>
      </w:r>
    </w:p>
    <w:p w14:paraId="57E94270" w14:textId="2B2191C0" w:rsidR="00E160B0" w:rsidRDefault="000131EA" w:rsidP="00E90061">
      <w:pPr>
        <w:pStyle w:val="ONUMFS"/>
        <w:numPr>
          <w:ilvl w:val="0"/>
          <w:numId w:val="0"/>
        </w:numPr>
      </w:pPr>
      <w:r>
        <w:fldChar w:fldCharType="begin"/>
      </w:r>
      <w:r>
        <w:instrText xml:space="preserve"> AUTONUM  </w:instrText>
      </w:r>
      <w:r>
        <w:fldChar w:fldCharType="end"/>
      </w:r>
      <w:r>
        <w:tab/>
      </w:r>
      <w:r w:rsidR="00D1556E">
        <w:t>In addition to the rating, valuable comments which explain their rating or other relevant information, were provided by participating Offices.  Some outstanding comments are:</w:t>
      </w:r>
    </w:p>
    <w:p w14:paraId="2AA6B481" w14:textId="151C8CE9" w:rsidR="000131EA" w:rsidRDefault="00E160B0" w:rsidP="00CA5243">
      <w:pPr>
        <w:pStyle w:val="ONUMFS"/>
        <w:numPr>
          <w:ilvl w:val="0"/>
          <w:numId w:val="10"/>
        </w:numPr>
      </w:pPr>
      <w:r>
        <w:t xml:space="preserve">Some Offices partially rank the </w:t>
      </w:r>
      <w:r w:rsidR="00D1556E">
        <w:t>priority</w:t>
      </w:r>
      <w:r>
        <w:t xml:space="preserve"> </w:t>
      </w:r>
      <w:r w:rsidR="00D1556E">
        <w:t xml:space="preserve">of a Recommendation, </w:t>
      </w:r>
      <w:r>
        <w:t>e</w:t>
      </w:r>
      <w:r w:rsidR="00137C26">
        <w:t>.</w:t>
      </w:r>
      <w:r>
        <w:t xml:space="preserve">g., </w:t>
      </w:r>
      <w:r w:rsidR="00D1556E">
        <w:t>EP</w:t>
      </w:r>
      <w:r w:rsidR="007E771B">
        <w:t>O</w:t>
      </w:r>
      <w:r w:rsidR="00D1556E">
        <w:t xml:space="preserve">’s response to </w:t>
      </w:r>
      <w:r>
        <w:t>R04</w:t>
      </w:r>
      <w:r w:rsidR="00C15725">
        <w:t xml:space="preserve"> </w:t>
      </w:r>
      <w:r>
        <w:t xml:space="preserve">- </w:t>
      </w:r>
      <w:r w:rsidRPr="00E160B0">
        <w:t>H</w:t>
      </w:r>
      <w:r w:rsidR="00C15725">
        <w:t>igh for</w:t>
      </w:r>
      <w:r w:rsidRPr="00E160B0">
        <w:t xml:space="preserve"> </w:t>
      </w:r>
      <w:r w:rsidR="00D1556E">
        <w:t xml:space="preserve">first </w:t>
      </w:r>
      <w:r w:rsidRPr="00E160B0">
        <w:t>part</w:t>
      </w:r>
      <w:r w:rsidR="00D1556E">
        <w:t xml:space="preserve"> of Recommendation</w:t>
      </w:r>
      <w:r w:rsidRPr="00E160B0">
        <w:t xml:space="preserve">, </w:t>
      </w:r>
      <w:r w:rsidR="00D1556E">
        <w:t xml:space="preserve">but </w:t>
      </w:r>
      <w:r w:rsidRPr="00E160B0">
        <w:t>L</w:t>
      </w:r>
      <w:r w:rsidR="00C15725">
        <w:t>ow</w:t>
      </w:r>
      <w:r w:rsidRPr="00E160B0">
        <w:t xml:space="preserve"> </w:t>
      </w:r>
      <w:r w:rsidR="00D1556E">
        <w:t xml:space="preserve">for </w:t>
      </w:r>
      <w:r w:rsidRPr="00E160B0">
        <w:t>common tools</w:t>
      </w:r>
      <w:r w:rsidR="00D1556E">
        <w:t>.</w:t>
      </w:r>
    </w:p>
    <w:p w14:paraId="58678F54" w14:textId="369C73A5" w:rsidR="000131EA" w:rsidRPr="002D47FF" w:rsidRDefault="00D1556E" w:rsidP="00CA5243">
      <w:pPr>
        <w:pStyle w:val="ONUMFS"/>
        <w:numPr>
          <w:ilvl w:val="0"/>
          <w:numId w:val="10"/>
        </w:numPr>
      </w:pPr>
      <w:r w:rsidRPr="002D47FF">
        <w:rPr>
          <w:sz w:val="21"/>
          <w:szCs w:val="21"/>
        </w:rPr>
        <w:t>Readi</w:t>
      </w:r>
      <w:r w:rsidR="00E160B0" w:rsidRPr="002D47FF">
        <w:rPr>
          <w:sz w:val="21"/>
          <w:szCs w:val="21"/>
        </w:rPr>
        <w:t xml:space="preserve">ness in terms of resources and </w:t>
      </w:r>
      <w:r w:rsidR="000131EA" w:rsidRPr="002D47FF">
        <w:rPr>
          <w:sz w:val="21"/>
          <w:szCs w:val="21"/>
        </w:rPr>
        <w:t xml:space="preserve">timelessness, e.g., </w:t>
      </w:r>
      <w:r w:rsidR="00E160B0" w:rsidRPr="002D47FF">
        <w:rPr>
          <w:sz w:val="21"/>
          <w:szCs w:val="21"/>
        </w:rPr>
        <w:t>R03</w:t>
      </w:r>
      <w:r w:rsidR="000131EA" w:rsidRPr="002D47FF">
        <w:rPr>
          <w:sz w:val="21"/>
          <w:szCs w:val="21"/>
        </w:rPr>
        <w:t xml:space="preserve"> requires </w:t>
      </w:r>
      <w:r w:rsidR="00E160B0" w:rsidRPr="002D47FF">
        <w:rPr>
          <w:sz w:val="21"/>
          <w:szCs w:val="21"/>
        </w:rPr>
        <w:t>resource and time to achieve it.)</w:t>
      </w:r>
    </w:p>
    <w:p w14:paraId="17F27AE3" w14:textId="5E53102F" w:rsidR="00E160B0" w:rsidRPr="002D47FF" w:rsidRDefault="000131EA" w:rsidP="00CA5243">
      <w:pPr>
        <w:pStyle w:val="ONUMFS"/>
        <w:numPr>
          <w:ilvl w:val="0"/>
          <w:numId w:val="10"/>
        </w:numPr>
      </w:pPr>
      <w:r w:rsidRPr="002D47FF">
        <w:rPr>
          <w:sz w:val="21"/>
          <w:szCs w:val="21"/>
        </w:rPr>
        <w:t xml:space="preserve">Readiness </w:t>
      </w:r>
      <w:r w:rsidR="00C15725" w:rsidRPr="002D47FF">
        <w:rPr>
          <w:sz w:val="21"/>
          <w:szCs w:val="21"/>
        </w:rPr>
        <w:t xml:space="preserve">of </w:t>
      </w:r>
      <w:r w:rsidRPr="002D47FF">
        <w:rPr>
          <w:sz w:val="21"/>
          <w:szCs w:val="21"/>
        </w:rPr>
        <w:t>c</w:t>
      </w:r>
      <w:r w:rsidR="00E160B0" w:rsidRPr="002D47FF">
        <w:rPr>
          <w:sz w:val="21"/>
          <w:szCs w:val="21"/>
        </w:rPr>
        <w:t>ommon</w:t>
      </w:r>
      <w:r w:rsidRPr="002D47FF">
        <w:rPr>
          <w:sz w:val="21"/>
          <w:szCs w:val="21"/>
        </w:rPr>
        <w:t xml:space="preserve"> or relevant</w:t>
      </w:r>
      <w:r w:rsidR="00E160B0" w:rsidRPr="002D47FF">
        <w:rPr>
          <w:sz w:val="21"/>
          <w:szCs w:val="21"/>
        </w:rPr>
        <w:t xml:space="preserve"> tools - R05 and other</w:t>
      </w:r>
      <w:r w:rsidRPr="002D47FF">
        <w:rPr>
          <w:sz w:val="21"/>
          <w:szCs w:val="21"/>
        </w:rPr>
        <w:t>s: Recommendation</w:t>
      </w:r>
      <w:r w:rsidR="00E160B0" w:rsidRPr="002D47FF">
        <w:rPr>
          <w:sz w:val="21"/>
          <w:szCs w:val="21"/>
        </w:rPr>
        <w:t xml:space="preserve">s </w:t>
      </w:r>
      <w:r w:rsidRPr="002D47FF">
        <w:rPr>
          <w:sz w:val="21"/>
          <w:szCs w:val="21"/>
        </w:rPr>
        <w:t>are</w:t>
      </w:r>
      <w:r w:rsidR="00E160B0" w:rsidRPr="002D47FF">
        <w:rPr>
          <w:sz w:val="21"/>
          <w:szCs w:val="21"/>
        </w:rPr>
        <w:t xml:space="preserve"> quite helpful, however, </w:t>
      </w:r>
      <w:r w:rsidRPr="002D47FF">
        <w:rPr>
          <w:sz w:val="21"/>
          <w:szCs w:val="21"/>
        </w:rPr>
        <w:t>some O</w:t>
      </w:r>
      <w:r w:rsidR="00E160B0" w:rsidRPr="002D47FF">
        <w:rPr>
          <w:sz w:val="21"/>
          <w:szCs w:val="21"/>
        </w:rPr>
        <w:t>ffices do not have the technological tools to do so</w:t>
      </w:r>
      <w:r w:rsidRPr="002D47FF">
        <w:rPr>
          <w:sz w:val="21"/>
          <w:szCs w:val="21"/>
        </w:rPr>
        <w:t xml:space="preserve"> or there may be limitations, including IPO constraints and applicant constraints/limitations</w:t>
      </w:r>
      <w:r w:rsidR="00E160B0" w:rsidRPr="002D47FF">
        <w:rPr>
          <w:sz w:val="21"/>
          <w:szCs w:val="21"/>
        </w:rPr>
        <w:t xml:space="preserve">. </w:t>
      </w:r>
    </w:p>
    <w:p w14:paraId="4C61031F" w14:textId="7AD9B34F" w:rsidR="00E160B0" w:rsidRDefault="000131EA" w:rsidP="00CA5243">
      <w:pPr>
        <w:spacing w:after="220"/>
      </w:pPr>
      <w:r w:rsidRPr="00CA5243">
        <w:fldChar w:fldCharType="begin"/>
      </w:r>
      <w:r w:rsidRPr="00CA5243">
        <w:instrText xml:space="preserve"> AUTONUM  </w:instrText>
      </w:r>
      <w:r w:rsidRPr="00CA5243">
        <w:fldChar w:fldCharType="end"/>
      </w:r>
      <w:r w:rsidRPr="00CA5243">
        <w:tab/>
      </w:r>
      <w:r w:rsidR="006404F2" w:rsidRPr="00CA5243">
        <w:t xml:space="preserve">It is noted that the results of this survey </w:t>
      </w:r>
      <w:r w:rsidR="00C15725">
        <w:t>are</w:t>
      </w:r>
      <w:r w:rsidR="006404F2" w:rsidRPr="00CA5243">
        <w:t xml:space="preserve"> quite different from the survey </w:t>
      </w:r>
      <w:r w:rsidRPr="00CA5243">
        <w:t>result</w:t>
      </w:r>
      <w:r w:rsidR="00C15725">
        <w:t>s</w:t>
      </w:r>
      <w:r w:rsidRPr="00CA5243">
        <w:t xml:space="preserve"> </w:t>
      </w:r>
      <w:r w:rsidR="006404F2" w:rsidRPr="00CA5243">
        <w:t>of the Task Force</w:t>
      </w:r>
      <w:r w:rsidRPr="00CA5243">
        <w:t xml:space="preserve"> explained </w:t>
      </w:r>
      <w:r w:rsidR="00C15725">
        <w:t xml:space="preserve">in </w:t>
      </w:r>
      <w:r w:rsidRPr="00CA5243">
        <w:t xml:space="preserve">paragraph 4 above.  For example, </w:t>
      </w:r>
      <w:r w:rsidR="006404F2" w:rsidRPr="00CA5243">
        <w:t>R38</w:t>
      </w:r>
      <w:r w:rsidR="00E50B06" w:rsidRPr="00CA5243">
        <w:t xml:space="preserve"> was a prioritized recommendation</w:t>
      </w:r>
      <w:r w:rsidRPr="00CA5243">
        <w:t xml:space="preserve"> from the Task Force survey</w:t>
      </w:r>
      <w:r w:rsidR="00E50B06" w:rsidRPr="00CA5243">
        <w:t>, but it belongs to the least priority category</w:t>
      </w:r>
      <w:r w:rsidR="00885FDA" w:rsidRPr="00CA5243">
        <w:t xml:space="preserve"> of this survey</w:t>
      </w:r>
      <w:r w:rsidR="00C15725">
        <w:t xml:space="preserve"> of all IPOs</w:t>
      </w:r>
      <w:r w:rsidR="00E50B06" w:rsidRPr="00CA5243">
        <w:t>.</w:t>
      </w:r>
    </w:p>
    <w:p w14:paraId="40C19FFE" w14:textId="4D19C8D1" w:rsidR="002671B3" w:rsidRDefault="002671B3" w:rsidP="00885FDA">
      <w:pPr>
        <w:pStyle w:val="ONUMFS"/>
        <w:numPr>
          <w:ilvl w:val="0"/>
          <w:numId w:val="0"/>
        </w:numPr>
      </w:pPr>
      <w:r>
        <w:fldChar w:fldCharType="begin"/>
      </w:r>
      <w:r>
        <w:instrText xml:space="preserve"> AUTONUM  </w:instrText>
      </w:r>
      <w:r>
        <w:fldChar w:fldCharType="end"/>
      </w:r>
      <w:r>
        <w:tab/>
      </w:r>
      <w:r w:rsidR="00D53A49">
        <w:t>It is proposed that t</w:t>
      </w:r>
      <w:r>
        <w:t xml:space="preserve">he ICT Strategy </w:t>
      </w:r>
      <w:r w:rsidR="00831585">
        <w:t xml:space="preserve">for Standards </w:t>
      </w:r>
      <w:r>
        <w:t xml:space="preserve">Task Force </w:t>
      </w:r>
      <w:r w:rsidR="00D53A49">
        <w:t xml:space="preserve">should be asked </w:t>
      </w:r>
      <w:r w:rsidR="00885FDA">
        <w:t xml:space="preserve">to prepare a strategic roadmap for consideration by the CWS (see paragraphs 19 to 20 of document CWS/7/29) </w:t>
      </w:r>
      <w:r w:rsidR="00D53A49">
        <w:t>taking into accou</w:t>
      </w:r>
      <w:r w:rsidR="00C15725">
        <w:t>n</w:t>
      </w:r>
      <w:r w:rsidR="00D53A49">
        <w:t>t the results of the survey and should</w:t>
      </w:r>
      <w:r>
        <w:t xml:space="preserve"> consider the survey results </w:t>
      </w:r>
      <w:r w:rsidR="00D53A49">
        <w:t xml:space="preserve">when it </w:t>
      </w:r>
      <w:r>
        <w:t>update</w:t>
      </w:r>
      <w:r w:rsidR="00D53A49">
        <w:t>s</w:t>
      </w:r>
      <w:r>
        <w:t xml:space="preserve"> its work plan for 2022.  </w:t>
      </w:r>
    </w:p>
    <w:p w14:paraId="5F23A40B" w14:textId="77777777" w:rsidR="00542C43" w:rsidRPr="005257A0" w:rsidRDefault="00542C43" w:rsidP="005257A0">
      <w:pPr>
        <w:pStyle w:val="ONUMFS"/>
        <w:numPr>
          <w:ilvl w:val="0"/>
          <w:numId w:val="0"/>
        </w:numPr>
        <w:rPr>
          <w:sz w:val="20"/>
          <w:lang w:eastAsia="en-US"/>
        </w:rPr>
      </w:pPr>
    </w:p>
    <w:p w14:paraId="755932DA" w14:textId="77777777" w:rsidR="00C80BFB" w:rsidRPr="003A5F87" w:rsidRDefault="00C80BFB" w:rsidP="00C80BFB">
      <w:pPr>
        <w:pStyle w:val="ONUMFS"/>
        <w:numPr>
          <w:ilvl w:val="0"/>
          <w:numId w:val="0"/>
        </w:numPr>
        <w:spacing w:after="120"/>
        <w:ind w:left="5530"/>
        <w:rPr>
          <w:i/>
        </w:rPr>
      </w:pPr>
      <w:r>
        <w:rPr>
          <w:i/>
          <w:szCs w:val="22"/>
        </w:rPr>
        <w:fldChar w:fldCharType="begin"/>
      </w:r>
      <w:r>
        <w:rPr>
          <w:i/>
          <w:szCs w:val="22"/>
        </w:rPr>
        <w:instrText xml:space="preserve"> AUTONUM  </w:instrText>
      </w:r>
      <w:r>
        <w:rPr>
          <w:i/>
          <w:szCs w:val="22"/>
        </w:rPr>
        <w:fldChar w:fldCharType="end"/>
      </w:r>
      <w:r>
        <w:rPr>
          <w:i/>
          <w:szCs w:val="22"/>
        </w:rPr>
        <w:tab/>
      </w:r>
      <w:r w:rsidRPr="003A5F87">
        <w:rPr>
          <w:i/>
          <w:szCs w:val="22"/>
        </w:rPr>
        <w:t>Th</w:t>
      </w:r>
      <w:r w:rsidRPr="003A5F87">
        <w:rPr>
          <w:i/>
        </w:rPr>
        <w:t xml:space="preserve">e CWS is invited to: </w:t>
      </w:r>
    </w:p>
    <w:p w14:paraId="7A00D4DF" w14:textId="768F681E" w:rsidR="00C80BFB" w:rsidRDefault="00C80BFB" w:rsidP="00C80BFB">
      <w:pPr>
        <w:pStyle w:val="BodyText"/>
        <w:tabs>
          <w:tab w:val="left" w:pos="6160"/>
          <w:tab w:val="left" w:pos="6710"/>
        </w:tabs>
        <w:ind w:left="5530"/>
        <w:rPr>
          <w:i/>
        </w:rPr>
      </w:pPr>
      <w:r>
        <w:rPr>
          <w:i/>
        </w:rPr>
        <w:tab/>
        <w:t>(a)</w:t>
      </w:r>
      <w:r>
        <w:rPr>
          <w:i/>
        </w:rPr>
        <w:tab/>
      </w:r>
      <w:r w:rsidRPr="006A730D">
        <w:rPr>
          <w:i/>
        </w:rPr>
        <w:t xml:space="preserve">note the content of </w:t>
      </w:r>
      <w:r>
        <w:rPr>
          <w:i/>
        </w:rPr>
        <w:t xml:space="preserve">this </w:t>
      </w:r>
      <w:r w:rsidRPr="006A730D">
        <w:rPr>
          <w:i/>
        </w:rPr>
        <w:t>document</w:t>
      </w:r>
      <w:r w:rsidR="00D53A49">
        <w:rPr>
          <w:i/>
        </w:rPr>
        <w:t xml:space="preserve"> and the </w:t>
      </w:r>
      <w:r w:rsidR="00CA5243">
        <w:rPr>
          <w:i/>
        </w:rPr>
        <w:t xml:space="preserve">responses to </w:t>
      </w:r>
      <w:r w:rsidR="00D53A49">
        <w:rPr>
          <w:i/>
        </w:rPr>
        <w:t xml:space="preserve">the survey as </w:t>
      </w:r>
      <w:r w:rsidR="00FD64FC">
        <w:rPr>
          <w:i/>
        </w:rPr>
        <w:t xml:space="preserve">reproduced in Annex I of this document and </w:t>
      </w:r>
      <w:r w:rsidR="00CA5243">
        <w:rPr>
          <w:i/>
        </w:rPr>
        <w:t>indicated in paragraph 6 above</w:t>
      </w:r>
      <w:r w:rsidRPr="006A730D">
        <w:rPr>
          <w:i/>
        </w:rPr>
        <w:t>;</w:t>
      </w:r>
      <w:r>
        <w:rPr>
          <w:i/>
        </w:rPr>
        <w:t xml:space="preserve"> and</w:t>
      </w:r>
    </w:p>
    <w:p w14:paraId="0CF35CA3" w14:textId="5BC70194" w:rsidR="00C80BFB" w:rsidRPr="00C80BFB" w:rsidRDefault="00C80BFB" w:rsidP="00C80BFB">
      <w:pPr>
        <w:pStyle w:val="BodyText"/>
        <w:tabs>
          <w:tab w:val="left" w:pos="6160"/>
          <w:tab w:val="left" w:pos="6710"/>
        </w:tabs>
        <w:ind w:left="5530"/>
        <w:rPr>
          <w:i/>
        </w:rPr>
      </w:pPr>
      <w:r>
        <w:rPr>
          <w:i/>
        </w:rPr>
        <w:tab/>
        <w:t>(b)</w:t>
      </w:r>
      <w:r>
        <w:rPr>
          <w:i/>
        </w:rPr>
        <w:tab/>
      </w:r>
      <w:r w:rsidRPr="007C4727">
        <w:rPr>
          <w:i/>
        </w:rPr>
        <w:t xml:space="preserve">request the </w:t>
      </w:r>
      <w:r w:rsidR="00D53A49">
        <w:rPr>
          <w:i/>
        </w:rPr>
        <w:t>ICT Strategy Task Force to take into account the results when it prepare the strategic roadmap and its work plan as indicated in paragraph 15 above.</w:t>
      </w:r>
    </w:p>
    <w:p w14:paraId="6F3582CC" w14:textId="77777777" w:rsidR="00C80BFB" w:rsidRDefault="00C80BFB" w:rsidP="00C80BFB">
      <w:pPr>
        <w:rPr>
          <w:szCs w:val="22"/>
        </w:rPr>
      </w:pPr>
    </w:p>
    <w:p w14:paraId="72E7C50A" w14:textId="77777777" w:rsidR="00C80BFB" w:rsidRPr="00084955" w:rsidRDefault="00C80BFB" w:rsidP="00C80BFB">
      <w:pPr>
        <w:rPr>
          <w:szCs w:val="22"/>
        </w:rPr>
      </w:pPr>
    </w:p>
    <w:p w14:paraId="407F176E" w14:textId="7A26FB0F" w:rsidR="00C80BFB" w:rsidRPr="00084955" w:rsidRDefault="00C80BFB" w:rsidP="00C80BFB">
      <w:pPr>
        <w:pStyle w:val="Endofdocument"/>
      </w:pPr>
      <w:r w:rsidRPr="00084955">
        <w:rPr>
          <w:rFonts w:cs="Arial"/>
          <w:sz w:val="22"/>
          <w:szCs w:val="22"/>
        </w:rPr>
        <w:t>[</w:t>
      </w:r>
      <w:hyperlink r:id="rId10" w:history="1">
        <w:r w:rsidR="004834BF" w:rsidRPr="004834BF">
          <w:rPr>
            <w:rStyle w:val="Hyperlink"/>
          </w:rPr>
          <w:t>Annex I</w:t>
        </w:r>
      </w:hyperlink>
      <w:bookmarkStart w:id="5" w:name="_GoBack"/>
      <w:bookmarkEnd w:id="5"/>
      <w:r w:rsidR="004834BF">
        <w:t xml:space="preserve"> </w:t>
      </w:r>
      <w:r w:rsidR="005A72B3">
        <w:rPr>
          <w:rFonts w:cs="Arial"/>
          <w:sz w:val="22"/>
          <w:szCs w:val="22"/>
        </w:rPr>
        <w:t>follows</w:t>
      </w:r>
      <w:r w:rsidRPr="00084955">
        <w:rPr>
          <w:rFonts w:cs="Arial"/>
          <w:sz w:val="22"/>
          <w:szCs w:val="22"/>
        </w:rPr>
        <w:t>]</w:t>
      </w:r>
    </w:p>
    <w:p w14:paraId="66B2A81B" w14:textId="77777777" w:rsidR="00C80BFB" w:rsidRDefault="00C80BFB" w:rsidP="00C80BFB">
      <w:pPr>
        <w:spacing w:after="220"/>
      </w:pPr>
    </w:p>
    <w:sectPr w:rsidR="00C80BFB" w:rsidSect="00C80BFB">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A0958" w14:textId="77777777" w:rsidR="0025355C" w:rsidRDefault="0025355C">
      <w:r>
        <w:separator/>
      </w:r>
    </w:p>
  </w:endnote>
  <w:endnote w:type="continuationSeparator" w:id="0">
    <w:p w14:paraId="3CDF79BC" w14:textId="77777777" w:rsidR="0025355C" w:rsidRDefault="0025355C" w:rsidP="003B38C1">
      <w:r>
        <w:separator/>
      </w:r>
    </w:p>
    <w:p w14:paraId="644DED0C" w14:textId="77777777" w:rsidR="0025355C" w:rsidRPr="003B38C1" w:rsidRDefault="0025355C" w:rsidP="003B38C1">
      <w:pPr>
        <w:spacing w:after="60"/>
        <w:rPr>
          <w:sz w:val="17"/>
        </w:rPr>
      </w:pPr>
      <w:r>
        <w:rPr>
          <w:sz w:val="17"/>
        </w:rPr>
        <w:t>[Endnote continued from previous page]</w:t>
      </w:r>
    </w:p>
  </w:endnote>
  <w:endnote w:type="continuationNotice" w:id="1">
    <w:p w14:paraId="3BDECEE9" w14:textId="77777777" w:rsidR="0025355C" w:rsidRPr="003B38C1" w:rsidRDefault="0025355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779F5" w14:textId="77777777" w:rsidR="0025355C" w:rsidRDefault="0025355C">
      <w:r>
        <w:separator/>
      </w:r>
    </w:p>
  </w:footnote>
  <w:footnote w:type="continuationSeparator" w:id="0">
    <w:p w14:paraId="43DB3477" w14:textId="77777777" w:rsidR="0025355C" w:rsidRDefault="0025355C" w:rsidP="008B60B2">
      <w:r>
        <w:separator/>
      </w:r>
    </w:p>
    <w:p w14:paraId="4B78A4C1" w14:textId="77777777" w:rsidR="0025355C" w:rsidRPr="00ED77FB" w:rsidRDefault="0025355C" w:rsidP="008B60B2">
      <w:pPr>
        <w:spacing w:after="60"/>
        <w:rPr>
          <w:sz w:val="17"/>
          <w:szCs w:val="17"/>
        </w:rPr>
      </w:pPr>
      <w:r w:rsidRPr="00ED77FB">
        <w:rPr>
          <w:sz w:val="17"/>
          <w:szCs w:val="17"/>
        </w:rPr>
        <w:t>[Footnote continued from previous page]</w:t>
      </w:r>
    </w:p>
  </w:footnote>
  <w:footnote w:type="continuationNotice" w:id="1">
    <w:p w14:paraId="596BEE34" w14:textId="77777777" w:rsidR="0025355C" w:rsidRPr="00ED77FB" w:rsidRDefault="0025355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2718E" w14:textId="77777777" w:rsidR="00E90061" w:rsidRPr="002326AB" w:rsidRDefault="00E90061" w:rsidP="00477D6B">
    <w:pPr>
      <w:jc w:val="right"/>
      <w:rPr>
        <w:caps/>
      </w:rPr>
    </w:pPr>
    <w:bookmarkStart w:id="6" w:name="Code2"/>
    <w:bookmarkEnd w:id="6"/>
    <w:r>
      <w:rPr>
        <w:caps/>
      </w:rPr>
      <w:t>CWS/9/2</w:t>
    </w:r>
  </w:p>
  <w:p w14:paraId="144B26DC" w14:textId="405D2893" w:rsidR="00E90061" w:rsidRDefault="00E90061" w:rsidP="00477D6B">
    <w:pPr>
      <w:jc w:val="right"/>
    </w:pPr>
    <w:r>
      <w:t xml:space="preserve">page </w:t>
    </w:r>
    <w:r>
      <w:fldChar w:fldCharType="begin"/>
    </w:r>
    <w:r>
      <w:instrText xml:space="preserve"> PAGE  \* MERGEFORMAT </w:instrText>
    </w:r>
    <w:r>
      <w:fldChar w:fldCharType="separate"/>
    </w:r>
    <w:r w:rsidR="004834BF">
      <w:rPr>
        <w:noProof/>
      </w:rPr>
      <w:t>5</w:t>
    </w:r>
    <w:r>
      <w:fldChar w:fldCharType="end"/>
    </w:r>
  </w:p>
  <w:p w14:paraId="221E8A55" w14:textId="77777777" w:rsidR="00E90061" w:rsidRDefault="00E90061" w:rsidP="00477D6B">
    <w:pPr>
      <w:jc w:val="right"/>
    </w:pPr>
  </w:p>
  <w:p w14:paraId="08ADB281" w14:textId="77777777" w:rsidR="00E90061" w:rsidRDefault="00E9006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B645761"/>
    <w:multiLevelType w:val="hybridMultilevel"/>
    <w:tmpl w:val="7EC00E38"/>
    <w:lvl w:ilvl="0" w:tplc="3DD463CA">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8F753B"/>
    <w:multiLevelType w:val="hybridMultilevel"/>
    <w:tmpl w:val="600404BA"/>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554D4E"/>
    <w:multiLevelType w:val="hybridMultilevel"/>
    <w:tmpl w:val="072C644E"/>
    <w:lvl w:ilvl="0" w:tplc="179AF1E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9509AE"/>
    <w:multiLevelType w:val="hybridMultilevel"/>
    <w:tmpl w:val="1C822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9"/>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BFB"/>
    <w:rsid w:val="000131EA"/>
    <w:rsid w:val="00020013"/>
    <w:rsid w:val="0002508B"/>
    <w:rsid w:val="00026BBB"/>
    <w:rsid w:val="0004107D"/>
    <w:rsid w:val="00043CAA"/>
    <w:rsid w:val="000467AF"/>
    <w:rsid w:val="00056816"/>
    <w:rsid w:val="00075432"/>
    <w:rsid w:val="000968ED"/>
    <w:rsid w:val="000A0718"/>
    <w:rsid w:val="000A3D97"/>
    <w:rsid w:val="000F5E56"/>
    <w:rsid w:val="001362EE"/>
    <w:rsid w:val="00137C26"/>
    <w:rsid w:val="00155B72"/>
    <w:rsid w:val="0016293A"/>
    <w:rsid w:val="001647D5"/>
    <w:rsid w:val="001805CF"/>
    <w:rsid w:val="001832A6"/>
    <w:rsid w:val="001934BB"/>
    <w:rsid w:val="001C479A"/>
    <w:rsid w:val="001D4107"/>
    <w:rsid w:val="001F0330"/>
    <w:rsid w:val="00203D24"/>
    <w:rsid w:val="00206410"/>
    <w:rsid w:val="0021217E"/>
    <w:rsid w:val="002326AB"/>
    <w:rsid w:val="0024191F"/>
    <w:rsid w:val="00243430"/>
    <w:rsid w:val="0025355C"/>
    <w:rsid w:val="002634C4"/>
    <w:rsid w:val="002671B3"/>
    <w:rsid w:val="002928D3"/>
    <w:rsid w:val="00296701"/>
    <w:rsid w:val="002C56D0"/>
    <w:rsid w:val="002D3A4D"/>
    <w:rsid w:val="002D3FA2"/>
    <w:rsid w:val="002D47FF"/>
    <w:rsid w:val="002F1FE6"/>
    <w:rsid w:val="002F4E68"/>
    <w:rsid w:val="00312BB5"/>
    <w:rsid w:val="00312F7F"/>
    <w:rsid w:val="00355ED8"/>
    <w:rsid w:val="00361450"/>
    <w:rsid w:val="003673CF"/>
    <w:rsid w:val="003845C1"/>
    <w:rsid w:val="003A6F89"/>
    <w:rsid w:val="003B38C1"/>
    <w:rsid w:val="003B3DEC"/>
    <w:rsid w:val="003C34E9"/>
    <w:rsid w:val="00423E3E"/>
    <w:rsid w:val="00427AF4"/>
    <w:rsid w:val="00435AC9"/>
    <w:rsid w:val="004647DA"/>
    <w:rsid w:val="00474062"/>
    <w:rsid w:val="00477D6B"/>
    <w:rsid w:val="004834BF"/>
    <w:rsid w:val="00492A08"/>
    <w:rsid w:val="004956FD"/>
    <w:rsid w:val="004961A1"/>
    <w:rsid w:val="004F1586"/>
    <w:rsid w:val="005019FF"/>
    <w:rsid w:val="005257A0"/>
    <w:rsid w:val="0053057A"/>
    <w:rsid w:val="00542C43"/>
    <w:rsid w:val="00556076"/>
    <w:rsid w:val="00560A29"/>
    <w:rsid w:val="005A72B3"/>
    <w:rsid w:val="005C6649"/>
    <w:rsid w:val="005E45A3"/>
    <w:rsid w:val="00605827"/>
    <w:rsid w:val="006404F2"/>
    <w:rsid w:val="00646050"/>
    <w:rsid w:val="006713CA"/>
    <w:rsid w:val="00676C5C"/>
    <w:rsid w:val="006A179F"/>
    <w:rsid w:val="00700C39"/>
    <w:rsid w:val="00704783"/>
    <w:rsid w:val="00720EFD"/>
    <w:rsid w:val="0073304F"/>
    <w:rsid w:val="00771CDD"/>
    <w:rsid w:val="0077623A"/>
    <w:rsid w:val="00784D70"/>
    <w:rsid w:val="007854AF"/>
    <w:rsid w:val="00793A7C"/>
    <w:rsid w:val="007A398A"/>
    <w:rsid w:val="007D1613"/>
    <w:rsid w:val="007E4C0E"/>
    <w:rsid w:val="007E771B"/>
    <w:rsid w:val="00831585"/>
    <w:rsid w:val="00846CF6"/>
    <w:rsid w:val="008630B2"/>
    <w:rsid w:val="00885FDA"/>
    <w:rsid w:val="008A134B"/>
    <w:rsid w:val="008A520D"/>
    <w:rsid w:val="008B2CC1"/>
    <w:rsid w:val="008B60B2"/>
    <w:rsid w:val="008C0FB3"/>
    <w:rsid w:val="008E4337"/>
    <w:rsid w:val="0090731E"/>
    <w:rsid w:val="00916EE2"/>
    <w:rsid w:val="00966A22"/>
    <w:rsid w:val="0096722F"/>
    <w:rsid w:val="00980843"/>
    <w:rsid w:val="009865DF"/>
    <w:rsid w:val="00993282"/>
    <w:rsid w:val="009A465A"/>
    <w:rsid w:val="009E2791"/>
    <w:rsid w:val="009E3F6F"/>
    <w:rsid w:val="009F499F"/>
    <w:rsid w:val="00A02BF3"/>
    <w:rsid w:val="00A37342"/>
    <w:rsid w:val="00A42DAF"/>
    <w:rsid w:val="00A45BD8"/>
    <w:rsid w:val="00A470D0"/>
    <w:rsid w:val="00A74414"/>
    <w:rsid w:val="00A80473"/>
    <w:rsid w:val="00A82961"/>
    <w:rsid w:val="00A869B7"/>
    <w:rsid w:val="00A90F0A"/>
    <w:rsid w:val="00AC205C"/>
    <w:rsid w:val="00AE2096"/>
    <w:rsid w:val="00AF0A6B"/>
    <w:rsid w:val="00AF5156"/>
    <w:rsid w:val="00B05A69"/>
    <w:rsid w:val="00B05D4F"/>
    <w:rsid w:val="00B355B6"/>
    <w:rsid w:val="00B50108"/>
    <w:rsid w:val="00B75281"/>
    <w:rsid w:val="00B92F1F"/>
    <w:rsid w:val="00B95E28"/>
    <w:rsid w:val="00B9734B"/>
    <w:rsid w:val="00BA30E2"/>
    <w:rsid w:val="00C04FA9"/>
    <w:rsid w:val="00C11BFE"/>
    <w:rsid w:val="00C15725"/>
    <w:rsid w:val="00C44CFF"/>
    <w:rsid w:val="00C5068F"/>
    <w:rsid w:val="00C80BFB"/>
    <w:rsid w:val="00C86D74"/>
    <w:rsid w:val="00CA5243"/>
    <w:rsid w:val="00CD04F1"/>
    <w:rsid w:val="00CF681A"/>
    <w:rsid w:val="00D07C78"/>
    <w:rsid w:val="00D11DA9"/>
    <w:rsid w:val="00D1556E"/>
    <w:rsid w:val="00D45252"/>
    <w:rsid w:val="00D53A49"/>
    <w:rsid w:val="00D71B4D"/>
    <w:rsid w:val="00D772BE"/>
    <w:rsid w:val="00D93D55"/>
    <w:rsid w:val="00DA51C5"/>
    <w:rsid w:val="00DC5C62"/>
    <w:rsid w:val="00DD7B7F"/>
    <w:rsid w:val="00DE7B0D"/>
    <w:rsid w:val="00E15015"/>
    <w:rsid w:val="00E160B0"/>
    <w:rsid w:val="00E335FE"/>
    <w:rsid w:val="00E45755"/>
    <w:rsid w:val="00E50B06"/>
    <w:rsid w:val="00E55A68"/>
    <w:rsid w:val="00E90061"/>
    <w:rsid w:val="00EA7D6E"/>
    <w:rsid w:val="00EB2F76"/>
    <w:rsid w:val="00EC4E49"/>
    <w:rsid w:val="00ED77FB"/>
    <w:rsid w:val="00EE45FA"/>
    <w:rsid w:val="00F043DE"/>
    <w:rsid w:val="00F11735"/>
    <w:rsid w:val="00F66152"/>
    <w:rsid w:val="00F9165B"/>
    <w:rsid w:val="00FC482F"/>
    <w:rsid w:val="00FD3E1A"/>
    <w:rsid w:val="00FD64FC"/>
    <w:rsid w:val="00FF0B9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116555"/>
  <w15:docId w15:val="{AE25D4A3-C9E7-4E32-B284-89DBB7A76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C80BFB"/>
    <w:rPr>
      <w:rFonts w:ascii="Arial" w:eastAsia="SimSun" w:hAnsi="Arial" w:cs="Arial"/>
      <w:bCs/>
      <w:iCs/>
      <w:caps/>
      <w:sz w:val="22"/>
      <w:szCs w:val="28"/>
      <w:lang w:val="en-US" w:eastAsia="zh-CN"/>
    </w:rPr>
  </w:style>
  <w:style w:type="paragraph" w:customStyle="1" w:styleId="Endofdocument">
    <w:name w:val="End of document"/>
    <w:basedOn w:val="Normal"/>
    <w:rsid w:val="00C80BFB"/>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C80BFB"/>
    <w:rPr>
      <w:rFonts w:ascii="Arial" w:eastAsia="SimSun" w:hAnsi="Arial" w:cs="Arial"/>
      <w:sz w:val="22"/>
      <w:lang w:val="en-US" w:eastAsia="zh-CN"/>
    </w:rPr>
  </w:style>
  <w:style w:type="character" w:styleId="Hyperlink">
    <w:name w:val="Hyperlink"/>
    <w:uiPriority w:val="99"/>
    <w:unhideWhenUsed/>
    <w:rsid w:val="002671B3"/>
    <w:rPr>
      <w:color w:val="0000FF"/>
      <w:u w:val="single"/>
    </w:rPr>
  </w:style>
  <w:style w:type="paragraph" w:styleId="BalloonText">
    <w:name w:val="Balloon Text"/>
    <w:basedOn w:val="Normal"/>
    <w:link w:val="BalloonTextChar"/>
    <w:semiHidden/>
    <w:unhideWhenUsed/>
    <w:rsid w:val="00E160B0"/>
    <w:rPr>
      <w:rFonts w:ascii="Segoe UI" w:hAnsi="Segoe UI" w:cs="Segoe UI"/>
      <w:sz w:val="18"/>
      <w:szCs w:val="18"/>
    </w:rPr>
  </w:style>
  <w:style w:type="character" w:customStyle="1" w:styleId="BalloonTextChar">
    <w:name w:val="Balloon Text Char"/>
    <w:basedOn w:val="DefaultParagraphFont"/>
    <w:link w:val="BalloonText"/>
    <w:semiHidden/>
    <w:rsid w:val="00E160B0"/>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435AC9"/>
    <w:rPr>
      <w:sz w:val="16"/>
      <w:szCs w:val="16"/>
    </w:rPr>
  </w:style>
  <w:style w:type="paragraph" w:styleId="CommentSubject">
    <w:name w:val="annotation subject"/>
    <w:basedOn w:val="CommentText"/>
    <w:next w:val="CommentText"/>
    <w:link w:val="CommentSubjectChar"/>
    <w:semiHidden/>
    <w:unhideWhenUsed/>
    <w:rsid w:val="00435AC9"/>
    <w:rPr>
      <w:b/>
      <w:bCs/>
      <w:sz w:val="20"/>
    </w:rPr>
  </w:style>
  <w:style w:type="character" w:customStyle="1" w:styleId="CommentTextChar">
    <w:name w:val="Comment Text Char"/>
    <w:basedOn w:val="DefaultParagraphFont"/>
    <w:link w:val="CommentText"/>
    <w:semiHidden/>
    <w:rsid w:val="00435AC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35AC9"/>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36195">
      <w:bodyDiv w:val="1"/>
      <w:marLeft w:val="0"/>
      <w:marRight w:val="0"/>
      <w:marTop w:val="0"/>
      <w:marBottom w:val="0"/>
      <w:divBdr>
        <w:top w:val="none" w:sz="0" w:space="0" w:color="auto"/>
        <w:left w:val="none" w:sz="0" w:space="0" w:color="auto"/>
        <w:bottom w:val="none" w:sz="0" w:space="0" w:color="auto"/>
        <w:right w:val="none" w:sz="0" w:space="0" w:color="auto"/>
      </w:divBdr>
    </w:div>
    <w:div w:id="212229739">
      <w:bodyDiv w:val="1"/>
      <w:marLeft w:val="0"/>
      <w:marRight w:val="0"/>
      <w:marTop w:val="0"/>
      <w:marBottom w:val="0"/>
      <w:divBdr>
        <w:top w:val="none" w:sz="0" w:space="0" w:color="auto"/>
        <w:left w:val="none" w:sz="0" w:space="0" w:color="auto"/>
        <w:bottom w:val="none" w:sz="0" w:space="0" w:color="auto"/>
        <w:right w:val="none" w:sz="0" w:space="0" w:color="auto"/>
      </w:divBdr>
    </w:div>
    <w:div w:id="286350312">
      <w:bodyDiv w:val="1"/>
      <w:marLeft w:val="0"/>
      <w:marRight w:val="0"/>
      <w:marTop w:val="0"/>
      <w:marBottom w:val="0"/>
      <w:divBdr>
        <w:top w:val="none" w:sz="0" w:space="0" w:color="auto"/>
        <w:left w:val="none" w:sz="0" w:space="0" w:color="auto"/>
        <w:bottom w:val="none" w:sz="0" w:space="0" w:color="auto"/>
        <w:right w:val="none" w:sz="0" w:space="0" w:color="auto"/>
      </w:divBdr>
    </w:div>
    <w:div w:id="561671879">
      <w:bodyDiv w:val="1"/>
      <w:marLeft w:val="0"/>
      <w:marRight w:val="0"/>
      <w:marTop w:val="0"/>
      <w:marBottom w:val="0"/>
      <w:divBdr>
        <w:top w:val="none" w:sz="0" w:space="0" w:color="auto"/>
        <w:left w:val="none" w:sz="0" w:space="0" w:color="auto"/>
        <w:bottom w:val="none" w:sz="0" w:space="0" w:color="auto"/>
        <w:right w:val="none" w:sz="0" w:space="0" w:color="auto"/>
      </w:divBdr>
    </w:div>
    <w:div w:id="1028021192">
      <w:bodyDiv w:val="1"/>
      <w:marLeft w:val="0"/>
      <w:marRight w:val="0"/>
      <w:marTop w:val="0"/>
      <w:marBottom w:val="0"/>
      <w:divBdr>
        <w:top w:val="none" w:sz="0" w:space="0" w:color="auto"/>
        <w:left w:val="none" w:sz="0" w:space="0" w:color="auto"/>
        <w:bottom w:val="none" w:sz="0" w:space="0" w:color="auto"/>
        <w:right w:val="none" w:sz="0" w:space="0" w:color="auto"/>
      </w:divBdr>
    </w:div>
    <w:div w:id="1578586457">
      <w:bodyDiv w:val="1"/>
      <w:marLeft w:val="0"/>
      <w:marRight w:val="0"/>
      <w:marTop w:val="0"/>
      <w:marBottom w:val="0"/>
      <w:divBdr>
        <w:top w:val="none" w:sz="0" w:space="0" w:color="auto"/>
        <w:left w:val="none" w:sz="0" w:space="0" w:color="auto"/>
        <w:bottom w:val="none" w:sz="0" w:space="0" w:color="auto"/>
        <w:right w:val="none" w:sz="0" w:space="0" w:color="auto"/>
      </w:divBdr>
    </w:div>
    <w:div w:id="1831486496">
      <w:bodyDiv w:val="1"/>
      <w:marLeft w:val="0"/>
      <w:marRight w:val="0"/>
      <w:marTop w:val="0"/>
      <w:marBottom w:val="0"/>
      <w:divBdr>
        <w:top w:val="none" w:sz="0" w:space="0" w:color="auto"/>
        <w:left w:val="none" w:sz="0" w:space="0" w:color="auto"/>
        <w:bottom w:val="none" w:sz="0" w:space="0" w:color="auto"/>
        <w:right w:val="none" w:sz="0" w:space="0" w:color="auto"/>
      </w:divBdr>
    </w:div>
    <w:div w:id="1924291888">
      <w:bodyDiv w:val="1"/>
      <w:marLeft w:val="0"/>
      <w:marRight w:val="0"/>
      <w:marTop w:val="0"/>
      <w:marBottom w:val="0"/>
      <w:divBdr>
        <w:top w:val="none" w:sz="0" w:space="0" w:color="auto"/>
        <w:left w:val="none" w:sz="0" w:space="0" w:color="auto"/>
        <w:bottom w:val="none" w:sz="0" w:space="0" w:color="auto"/>
        <w:right w:val="none" w:sz="0" w:space="0" w:color="auto"/>
      </w:divBdr>
    </w:div>
    <w:div w:id="200431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edocs/mdocs/cws/en/cws_9/cws_9_2-annex1.zip" TargetMode="External"/><Relationship Id="rId4" Type="http://schemas.openxmlformats.org/officeDocument/2006/relationships/settings" Target="settings.xml"/><Relationship Id="rId9" Type="http://schemas.openxmlformats.org/officeDocument/2006/relationships/hyperlink" Target="https://www.wipo.int/meetings/en/doc_details.jsp?doc_id=41557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1AF2F-600D-4FEE-B0C2-EE954EFCA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Template>
  <TotalTime>0</TotalTime>
  <Pages>5</Pages>
  <Words>1539</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CWS/9/2</vt:lpstr>
    </vt:vector>
  </TitlesOfParts>
  <Company>WIPO</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CWS/9/2</dc:title>
  <dc:subject>Publication of the survey results on the priority to 40 Recommendations on ICT Strategies</dc:subject>
  <dc:creator>WIPO</dc:creator>
  <cp:keywords>FOR OFFICIAL USE ONLY</cp:keywords>
  <cp:lastModifiedBy>CHAVAS Louison</cp:lastModifiedBy>
  <cp:revision>2</cp:revision>
  <cp:lastPrinted>2021-10-05T13:46:00Z</cp:lastPrinted>
  <dcterms:created xsi:type="dcterms:W3CDTF">2021-10-06T19:39:00Z</dcterms:created>
  <dcterms:modified xsi:type="dcterms:W3CDTF">2021-10-06T19:39:00Z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9653e34d-849a-4bec-8164-c22227624800</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