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B935" w14:textId="77777777" w:rsidR="008B2CC1" w:rsidRPr="008B2CC1" w:rsidRDefault="008B14EA" w:rsidP="008B14EA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1BFC96B5" wp14:editId="442E6622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43111206" wp14:editId="00ED4AB2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58D673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31E71440" w14:textId="1F9B7D4B" w:rsidR="008B2CC1" w:rsidRPr="008B14EA" w:rsidRDefault="0066216D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CWS/1</w:t>
      </w:r>
      <w:r w:rsidR="00CD5D91">
        <w:rPr>
          <w:rFonts w:ascii="Arial Black" w:hAnsi="Arial Black"/>
          <w:caps/>
          <w:sz w:val="15"/>
        </w:rPr>
        <w:t>1</w:t>
      </w:r>
      <w:r>
        <w:rPr>
          <w:rFonts w:ascii="Arial Black" w:hAnsi="Arial Black"/>
          <w:caps/>
          <w:sz w:val="15"/>
        </w:rPr>
        <w:t>/</w:t>
      </w:r>
      <w:bookmarkStart w:id="0" w:name="Code"/>
      <w:bookmarkEnd w:id="0"/>
      <w:r w:rsidR="000313A5">
        <w:rPr>
          <w:rFonts w:ascii="Arial Black" w:hAnsi="Arial Black"/>
          <w:caps/>
          <w:sz w:val="15"/>
        </w:rPr>
        <w:t>1</w:t>
      </w:r>
    </w:p>
    <w:p w14:paraId="0900A79B" w14:textId="77777777" w:rsidR="008B2CC1" w:rsidRPr="008B14EA" w:rsidRDefault="008B14EA" w:rsidP="008B14EA">
      <w:pPr>
        <w:jc w:val="right"/>
        <w:rPr>
          <w:rFonts w:ascii="Arial Black" w:hAnsi="Arial Black"/>
          <w:caps/>
          <w:sz w:val="15"/>
        </w:rPr>
      </w:pPr>
      <w:r w:rsidRPr="008B14EA">
        <w:rPr>
          <w:rFonts w:ascii="Arial Black" w:hAnsi="Arial Black"/>
          <w:caps/>
          <w:sz w:val="15"/>
        </w:rPr>
        <w:t xml:space="preserve">ORIGINAL: </w:t>
      </w:r>
      <w:bookmarkStart w:id="1" w:name="Original"/>
      <w:r w:rsidR="000313A5">
        <w:rPr>
          <w:rFonts w:ascii="Arial Black" w:hAnsi="Arial Black"/>
          <w:caps/>
          <w:sz w:val="15"/>
        </w:rPr>
        <w:t>INGLÉS</w:t>
      </w:r>
    </w:p>
    <w:bookmarkEnd w:id="1"/>
    <w:p w14:paraId="792A9C4E" w14:textId="4ED64A92" w:rsidR="008B2CC1" w:rsidRPr="008B14EA" w:rsidRDefault="008B14EA" w:rsidP="008B14EA">
      <w:pPr>
        <w:spacing w:after="1200"/>
        <w:jc w:val="right"/>
        <w:rPr>
          <w:rFonts w:ascii="Arial Black" w:hAnsi="Arial Black"/>
          <w:caps/>
          <w:sz w:val="15"/>
        </w:rPr>
      </w:pPr>
      <w:r w:rsidRPr="008B14EA">
        <w:rPr>
          <w:rFonts w:ascii="Arial Black" w:hAnsi="Arial Black"/>
          <w:caps/>
          <w:sz w:val="15"/>
        </w:rPr>
        <w:t xml:space="preserve">FECHA: </w:t>
      </w:r>
      <w:bookmarkStart w:id="2" w:name="Date"/>
      <w:r w:rsidR="007B49E7">
        <w:rPr>
          <w:rFonts w:ascii="Arial Black" w:hAnsi="Arial Black"/>
          <w:caps/>
          <w:sz w:val="15"/>
        </w:rPr>
        <w:t>4</w:t>
      </w:r>
      <w:r w:rsidR="000313A5">
        <w:rPr>
          <w:rFonts w:ascii="Arial Black" w:hAnsi="Arial Black"/>
          <w:caps/>
          <w:sz w:val="15"/>
        </w:rPr>
        <w:t xml:space="preserve"> DE </w:t>
      </w:r>
      <w:r w:rsidR="007B49E7">
        <w:rPr>
          <w:rFonts w:ascii="Arial Black" w:hAnsi="Arial Black"/>
          <w:caps/>
          <w:sz w:val="15"/>
        </w:rPr>
        <w:t>dic</w:t>
      </w:r>
      <w:r w:rsidR="000313A5">
        <w:rPr>
          <w:rFonts w:ascii="Arial Black" w:hAnsi="Arial Black"/>
          <w:caps/>
          <w:sz w:val="15"/>
        </w:rPr>
        <w:t>IEMBRE DE 2023</w:t>
      </w:r>
    </w:p>
    <w:bookmarkEnd w:id="2"/>
    <w:p w14:paraId="72BB429C" w14:textId="77777777" w:rsidR="008B2CC1" w:rsidRPr="0066216D" w:rsidRDefault="0066216D" w:rsidP="008B14EA">
      <w:pPr>
        <w:spacing w:after="600"/>
        <w:rPr>
          <w:b/>
          <w:sz w:val="28"/>
          <w:szCs w:val="28"/>
        </w:rPr>
      </w:pPr>
      <w:r w:rsidRPr="001C55D5">
        <w:rPr>
          <w:b/>
          <w:sz w:val="28"/>
          <w:szCs w:val="28"/>
        </w:rPr>
        <w:t>Comité de Normas Técnicas de la OMPI (CWS)</w:t>
      </w:r>
    </w:p>
    <w:p w14:paraId="14F758A1" w14:textId="77777777" w:rsidR="00511D0C" w:rsidRPr="0066216D" w:rsidRDefault="00CD5D91" w:rsidP="00511D0C">
      <w:pPr>
        <w:rPr>
          <w:b/>
          <w:sz w:val="28"/>
          <w:szCs w:val="24"/>
        </w:rPr>
      </w:pPr>
      <w:r w:rsidRPr="00CD5D91">
        <w:rPr>
          <w:b/>
          <w:sz w:val="24"/>
        </w:rPr>
        <w:t>Undécima sesión</w:t>
      </w:r>
    </w:p>
    <w:p w14:paraId="700FD900" w14:textId="77777777" w:rsidR="008B2CC1" w:rsidRPr="0066216D" w:rsidRDefault="0066216D" w:rsidP="008B14EA">
      <w:pPr>
        <w:spacing w:after="720"/>
        <w:rPr>
          <w:b/>
          <w:sz w:val="28"/>
          <w:szCs w:val="24"/>
        </w:rPr>
      </w:pPr>
      <w:r w:rsidRPr="0066216D">
        <w:rPr>
          <w:b/>
          <w:sz w:val="24"/>
        </w:rPr>
        <w:t xml:space="preserve">Ginebra, </w:t>
      </w:r>
      <w:r w:rsidR="00CD5D91">
        <w:rPr>
          <w:b/>
          <w:sz w:val="24"/>
        </w:rPr>
        <w:t>4</w:t>
      </w:r>
      <w:r w:rsidRPr="0066216D">
        <w:rPr>
          <w:b/>
          <w:sz w:val="24"/>
        </w:rPr>
        <w:t xml:space="preserve"> </w:t>
      </w:r>
      <w:r w:rsidR="00E64585">
        <w:rPr>
          <w:b/>
          <w:sz w:val="24"/>
        </w:rPr>
        <w:t>a</w:t>
      </w:r>
      <w:r w:rsidRPr="0066216D">
        <w:rPr>
          <w:b/>
          <w:sz w:val="24"/>
        </w:rPr>
        <w:t xml:space="preserve"> </w:t>
      </w:r>
      <w:r w:rsidR="00CD5D91">
        <w:rPr>
          <w:b/>
          <w:sz w:val="24"/>
        </w:rPr>
        <w:t>8</w:t>
      </w:r>
      <w:r w:rsidRPr="0066216D">
        <w:rPr>
          <w:b/>
          <w:sz w:val="24"/>
        </w:rPr>
        <w:t xml:space="preserve"> de </w:t>
      </w:r>
      <w:r w:rsidR="00CD5D91">
        <w:rPr>
          <w:b/>
          <w:sz w:val="24"/>
        </w:rPr>
        <w:t>diciembre</w:t>
      </w:r>
      <w:r w:rsidRPr="0066216D">
        <w:rPr>
          <w:b/>
          <w:sz w:val="24"/>
        </w:rPr>
        <w:t xml:space="preserve"> de 202</w:t>
      </w:r>
      <w:r w:rsidR="00CD5D91">
        <w:rPr>
          <w:b/>
          <w:sz w:val="24"/>
        </w:rPr>
        <w:t>3</w:t>
      </w:r>
    </w:p>
    <w:p w14:paraId="2B04BDE7" w14:textId="4A73C38C" w:rsidR="008B2CC1" w:rsidRPr="00D36B79" w:rsidRDefault="000313A5" w:rsidP="008B14EA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ORDEN DEL DÍA</w:t>
      </w:r>
    </w:p>
    <w:p w14:paraId="6FF605C8" w14:textId="346B5969" w:rsidR="008B2CC1" w:rsidRPr="00843582" w:rsidRDefault="00B70486" w:rsidP="008B14EA">
      <w:pPr>
        <w:spacing w:after="960"/>
        <w:rPr>
          <w:i/>
        </w:rPr>
      </w:pPr>
      <w:bookmarkStart w:id="4" w:name="Prepared"/>
      <w:bookmarkEnd w:id="3"/>
      <w:r>
        <w:rPr>
          <w:i/>
        </w:rPr>
        <w:t xml:space="preserve">Documento </w:t>
      </w:r>
      <w:r w:rsidR="003A1CAB">
        <w:rPr>
          <w:i/>
        </w:rPr>
        <w:t>preparado por la Secretaría</w:t>
      </w:r>
    </w:p>
    <w:bookmarkEnd w:id="4"/>
    <w:p w14:paraId="103F465C" w14:textId="77777777" w:rsidR="003A1CAB" w:rsidRPr="007F43BE" w:rsidRDefault="003A1CAB" w:rsidP="003A1CAB">
      <w:pPr>
        <w:pStyle w:val="ONUMFS"/>
      </w:pPr>
      <w:r>
        <w:t>Apertura de la undécima sesión</w:t>
      </w:r>
    </w:p>
    <w:p w14:paraId="667AE1FB" w14:textId="77777777" w:rsidR="003A1CAB" w:rsidRPr="007F43BE" w:rsidRDefault="003A1CAB" w:rsidP="003A1CAB">
      <w:pPr>
        <w:pStyle w:val="ONUMFS"/>
      </w:pPr>
      <w:r>
        <w:t>Elección del presidente y de dos vicepresidentes</w:t>
      </w:r>
    </w:p>
    <w:p w14:paraId="133C3A9F" w14:textId="77777777" w:rsidR="003A1CAB" w:rsidRDefault="003A1CAB" w:rsidP="003A1CAB">
      <w:pPr>
        <w:pStyle w:val="ONUMFS"/>
        <w:spacing w:after="0"/>
      </w:pPr>
      <w:r>
        <w:t>Aprobación del orden del día</w:t>
      </w:r>
    </w:p>
    <w:p w14:paraId="08A19079" w14:textId="77777777" w:rsidR="003A1CAB" w:rsidRPr="007F43BE" w:rsidRDefault="003A1CAB" w:rsidP="003A1CAB">
      <w:pPr>
        <w:pStyle w:val="ONUMFS"/>
        <w:numPr>
          <w:ilvl w:val="0"/>
          <w:numId w:val="0"/>
        </w:numPr>
        <w:ind w:left="1134"/>
      </w:pPr>
      <w:r>
        <w:t>Véase el presente documento.</w:t>
      </w:r>
    </w:p>
    <w:p w14:paraId="393039F7" w14:textId="77777777" w:rsidR="003A1CAB" w:rsidRDefault="003A1CAB" w:rsidP="003A1CAB">
      <w:pPr>
        <w:pStyle w:val="ONUMFS"/>
      </w:pPr>
      <w:r>
        <w:t>Programa de trabajo del CWS</w:t>
      </w:r>
    </w:p>
    <w:p w14:paraId="0A2C8190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Programa de trabajo y lista de tareas del CWS</w:t>
      </w:r>
    </w:p>
    <w:p w14:paraId="68733A11" w14:textId="77777777" w:rsidR="003A1CAB" w:rsidRDefault="003A1CAB" w:rsidP="00984FA0">
      <w:pPr>
        <w:pStyle w:val="ONUMFS"/>
        <w:numPr>
          <w:ilvl w:val="0"/>
          <w:numId w:val="0"/>
        </w:numPr>
        <w:ind w:left="1701"/>
      </w:pPr>
      <w:r>
        <w:t xml:space="preserve">Véase el documento CWS/11/8 </w:t>
      </w:r>
    </w:p>
    <w:p w14:paraId="27878654" w14:textId="77777777" w:rsidR="003A1CAB" w:rsidRDefault="003A1CAB" w:rsidP="00984FA0">
      <w:pPr>
        <w:pStyle w:val="ONUMFS"/>
        <w:numPr>
          <w:ilvl w:val="1"/>
          <w:numId w:val="3"/>
        </w:numPr>
        <w:tabs>
          <w:tab w:val="clear" w:pos="1134"/>
        </w:tabs>
        <w:spacing w:after="0"/>
        <w:ind w:left="1134" w:hanging="567"/>
      </w:pPr>
      <w:r>
        <w:t>Propuesta de una nueva tarea relativa a la aplicación de la Norma ST.37 de la OMPI</w:t>
      </w:r>
    </w:p>
    <w:p w14:paraId="15390A6D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CWS/11/15</w:t>
      </w:r>
    </w:p>
    <w:p w14:paraId="4851BD22" w14:textId="77777777" w:rsidR="003A1CAB" w:rsidRDefault="003A1CAB" w:rsidP="00984FA0">
      <w:pPr>
        <w:pStyle w:val="ONUMFS"/>
        <w:numPr>
          <w:ilvl w:val="1"/>
          <w:numId w:val="3"/>
        </w:numPr>
        <w:tabs>
          <w:tab w:val="clear" w:pos="1134"/>
        </w:tabs>
        <w:spacing w:after="0"/>
        <w:ind w:left="1134" w:hanging="567"/>
      </w:pPr>
      <w:r>
        <w:t>Cuestionario sobre la priorización de las tareas del Comité de Normas Técnicas de la OMPI</w:t>
      </w:r>
    </w:p>
    <w:p w14:paraId="02D18A69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CWS/11/6</w:t>
      </w:r>
    </w:p>
    <w:p w14:paraId="3BB79571" w14:textId="77777777" w:rsidR="003A1CAB" w:rsidRDefault="003A1CAB" w:rsidP="003A1CAB">
      <w:pPr>
        <w:pStyle w:val="ONUMFS"/>
      </w:pPr>
      <w:r>
        <w:t>Informes sobre la marcha de la labor de los Equipos Técnicos</w:t>
      </w:r>
    </w:p>
    <w:p w14:paraId="698CAAEB" w14:textId="77777777" w:rsidR="003A1CAB" w:rsidRDefault="003A1CAB" w:rsidP="00984FA0">
      <w:pPr>
        <w:pStyle w:val="ONUMFS"/>
        <w:numPr>
          <w:ilvl w:val="1"/>
          <w:numId w:val="3"/>
        </w:numPr>
      </w:pPr>
      <w:r>
        <w:t>Informe del Equipo Técnico 3D (Tarea N.º 61)</w:t>
      </w:r>
    </w:p>
    <w:p w14:paraId="78207523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sobre API (Tareas N.º 56 y N.º 64)</w:t>
      </w:r>
    </w:p>
    <w:p w14:paraId="103ABE59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CWS/11/14</w:t>
      </w:r>
    </w:p>
    <w:p w14:paraId="38A50EE9" w14:textId="77777777" w:rsidR="003A1CAB" w:rsidRDefault="003A1CAB" w:rsidP="00984FA0">
      <w:pPr>
        <w:pStyle w:val="ONUMFS"/>
        <w:numPr>
          <w:ilvl w:val="1"/>
          <w:numId w:val="3"/>
        </w:numPr>
      </w:pPr>
      <w:r>
        <w:lastRenderedPageBreak/>
        <w:t>Informe del Equipo Técnico sobre la Cadena de Bloques (Tarea N.º 59)</w:t>
      </w:r>
    </w:p>
    <w:p w14:paraId="2F39CB6D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 xml:space="preserve">Informe del Equipo Técnico de la Representación de Dibujos y Modelos </w:t>
      </w:r>
      <w:bookmarkStart w:id="5" w:name="_Hlk145920823"/>
      <w:r>
        <w:t>(Tarea N.º 57)</w:t>
      </w:r>
      <w:bookmarkEnd w:id="5"/>
    </w:p>
    <w:p w14:paraId="573DD2B6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CWS/11/4</w:t>
      </w:r>
    </w:p>
    <w:p w14:paraId="79C98035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Informe del Equipo Técnico de la transformación digital (Tarea N.º 62, Tarea N.º 63 y Tarea N.º 65)</w:t>
      </w:r>
    </w:p>
    <w:p w14:paraId="42486744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CWS/11/11</w:t>
      </w:r>
    </w:p>
    <w:p w14:paraId="6EAE78D6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Informe del Equipo Técnico de Estrategia de TIC para las Normas Técnicas (Tarea N.º 58)</w:t>
      </w:r>
    </w:p>
    <w:p w14:paraId="365EA17B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CWS/11/21</w:t>
      </w:r>
    </w:p>
    <w:p w14:paraId="6765A959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de la Situación Jurídica (Tarea N.º 47)</w:t>
      </w:r>
    </w:p>
    <w:p w14:paraId="421EA7FA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CWS/11/13</w:t>
      </w:r>
    </w:p>
    <w:p w14:paraId="2D1F0A32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de Normalización de los Nombres (Tarea N.º 55)</w:t>
      </w:r>
    </w:p>
    <w:p w14:paraId="1AD6FAFB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CWS/11/22</w:t>
      </w:r>
    </w:p>
    <w:p w14:paraId="4467285B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de la Parte 7 (Tarea N.º 50)</w:t>
      </w:r>
    </w:p>
    <w:p w14:paraId="4483F53D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CWS/11/24</w:t>
      </w:r>
    </w:p>
    <w:p w14:paraId="1563F842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Informe del Equipo Técnico de Acceso Público a la Información Contenida en las Patentes (Tarea N.º 52)</w:t>
      </w:r>
    </w:p>
    <w:p w14:paraId="3737C050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CWS/11/12</w:t>
      </w:r>
    </w:p>
    <w:p w14:paraId="70D989B6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sobre Listas de Secuencias (Tarea N.º 44)</w:t>
      </w:r>
    </w:p>
    <w:p w14:paraId="64850459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CWS/11/7</w:t>
      </w:r>
    </w:p>
    <w:p w14:paraId="5E04C6A3" w14:textId="77777777" w:rsidR="003A1CAB" w:rsidRDefault="003A1CAB" w:rsidP="00984FA0">
      <w:pPr>
        <w:pStyle w:val="ONUMFS"/>
        <w:numPr>
          <w:ilvl w:val="1"/>
          <w:numId w:val="3"/>
        </w:numPr>
        <w:spacing w:after="0"/>
      </w:pPr>
      <w:r>
        <w:t>Informe del Equipo Técnico XML4IP (Tarea N.º 41)</w:t>
      </w:r>
    </w:p>
    <w:p w14:paraId="7845422A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</w:t>
      </w:r>
    </w:p>
    <w:p w14:paraId="14083521" w14:textId="77777777" w:rsidR="003A1CAB" w:rsidRDefault="003A1CAB" w:rsidP="003A1CAB">
      <w:pPr>
        <w:pStyle w:val="ONUMFS"/>
      </w:pPr>
      <w:r>
        <w:t>Elaboración de normas técnicas de la OMPI</w:t>
      </w:r>
    </w:p>
    <w:p w14:paraId="19EAEDCF" w14:textId="547A6675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bookmarkStart w:id="6" w:name="_Hlk149835097"/>
      <w:r>
        <w:t>Propuesta de una nueva norma técnica de la OMPI sobre el formato de los conjuntos de datos para el intercambio electrónico de documentos de prioridad y copias certificadas</w:t>
      </w:r>
      <w:bookmarkEnd w:id="6"/>
    </w:p>
    <w:p w14:paraId="64B1E83A" w14:textId="25E25463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CWS/11/20</w:t>
      </w:r>
      <w:r w:rsidR="004C55C5">
        <w:t xml:space="preserve"> Rev.</w:t>
      </w:r>
    </w:p>
    <w:p w14:paraId="1826E498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revisión de la Norma ST.26 de la OMPI</w:t>
      </w:r>
    </w:p>
    <w:p w14:paraId="271C67CC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CWS/11/3</w:t>
      </w:r>
    </w:p>
    <w:p w14:paraId="07C6C904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revisión de la Norma ST.61 de la OMPI</w:t>
      </w:r>
    </w:p>
    <w:p w14:paraId="701A5200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CWS/11/9</w:t>
      </w:r>
    </w:p>
    <w:p w14:paraId="3CC8C901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revisión de la Norma ST.88 de la OMPI</w:t>
      </w:r>
    </w:p>
    <w:p w14:paraId="7DD400B4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CWS/11/5</w:t>
      </w:r>
    </w:p>
    <w:p w14:paraId="492BF552" w14:textId="7D954560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Propuestas de mejora de los metadatos sobre las obras huérfanas protegidas por derecho de autor en la Norma ST.96 de la OMPI</w:t>
      </w:r>
    </w:p>
    <w:p w14:paraId="366F356A" w14:textId="595443AC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 xml:space="preserve">Véase el documento CWS/11/19 </w:t>
      </w:r>
      <w:r w:rsidR="004C55C5">
        <w:t>Rev.</w:t>
      </w:r>
    </w:p>
    <w:p w14:paraId="6360E930" w14:textId="0079AA8E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directrices para la depuración de datos de nombres</w:t>
      </w:r>
    </w:p>
    <w:p w14:paraId="17DED3CC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 xml:space="preserve">Véase el documento CWS/11/23 </w:t>
      </w:r>
    </w:p>
    <w:p w14:paraId="5A6FE82A" w14:textId="56B3A289" w:rsidR="003A1CAB" w:rsidRDefault="003A1CAB" w:rsidP="00984FA0">
      <w:pPr>
        <w:pStyle w:val="ONUMFS"/>
        <w:keepNext/>
        <w:keepLines/>
      </w:pPr>
      <w:r>
        <w:lastRenderedPageBreak/>
        <w:t>Aplicación por las Oficinas de las</w:t>
      </w:r>
      <w:r w:rsidR="00984FA0">
        <w:t xml:space="preserve"> </w:t>
      </w:r>
      <w:r>
        <w:t>normas técnicas de la OMPI</w:t>
      </w:r>
    </w:p>
    <w:p w14:paraId="122A6FCC" w14:textId="77777777" w:rsidR="003A1CAB" w:rsidRDefault="003A1CAB" w:rsidP="00984FA0">
      <w:pPr>
        <w:pStyle w:val="ONUMFS"/>
        <w:numPr>
          <w:ilvl w:val="1"/>
          <w:numId w:val="3"/>
        </w:numPr>
      </w:pPr>
      <w:r>
        <w:t>Norma ST.26 de la OMPI</w:t>
      </w:r>
    </w:p>
    <w:p w14:paraId="010FA51A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Norma ST.37 de la OMPI</w:t>
      </w:r>
    </w:p>
    <w:p w14:paraId="503D8E91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Normas técnicas de la OMPI ST.27, ST.61 y ST.87 sobre incidencias relativas a la situación jurídica</w:t>
      </w:r>
    </w:p>
    <w:p w14:paraId="64932C63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Norma ST.90 de la OMPI</w:t>
      </w:r>
    </w:p>
    <w:p w14:paraId="7D1AC3DA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Norma ST.91 de la OMPI</w:t>
      </w:r>
    </w:p>
    <w:p w14:paraId="06D885FF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Norma ST.96 de la OMPI</w:t>
      </w:r>
    </w:p>
    <w:p w14:paraId="3B994E98" w14:textId="77777777" w:rsidR="003A1CAB" w:rsidRDefault="003A1CAB" w:rsidP="00984FA0">
      <w:pPr>
        <w:pStyle w:val="ONUMFS"/>
        <w:numPr>
          <w:ilvl w:val="1"/>
          <w:numId w:val="3"/>
        </w:numPr>
        <w:spacing w:after="240"/>
        <w:ind w:left="1134" w:hanging="567"/>
      </w:pPr>
      <w:r>
        <w:t>Otras normas técnicas de la OMPI</w:t>
      </w:r>
    </w:p>
    <w:p w14:paraId="0368F796" w14:textId="77777777" w:rsidR="003A1CAB" w:rsidRDefault="003A1CAB" w:rsidP="003A1CAB">
      <w:pPr>
        <w:pStyle w:val="ONUMFS"/>
      </w:pPr>
      <w:r>
        <w:t>Políticas y actividades relativas a datos, sistemas de información y servicios de información de propiedad intelectual (PI)</w:t>
      </w:r>
    </w:p>
    <w:p w14:paraId="6CEEEB37" w14:textId="77777777" w:rsidR="003A1CAB" w:rsidRDefault="003A1CAB" w:rsidP="00984FA0">
      <w:pPr>
        <w:pStyle w:val="ONUMFS"/>
        <w:numPr>
          <w:ilvl w:val="1"/>
          <w:numId w:val="3"/>
        </w:numPr>
        <w:ind w:left="1134" w:hanging="567"/>
      </w:pPr>
      <w:r>
        <w:t>Estrategias y políticas de tecnologías de la información y las comunicaciones (TIC) y transformación digital de las Oficinas de PI</w:t>
      </w:r>
    </w:p>
    <w:p w14:paraId="24C27FE3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Recomendaciones sobre TIC y administración de la PI</w:t>
      </w:r>
    </w:p>
    <w:p w14:paraId="54B0F850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CWS/11/18</w:t>
      </w:r>
    </w:p>
    <w:p w14:paraId="2432EE87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Identificador mundial para personas físicas y jurídicas</w:t>
      </w:r>
    </w:p>
    <w:p w14:paraId="50F5863C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CWS/11/17</w:t>
      </w:r>
    </w:p>
    <w:p w14:paraId="762B99CA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recomendaciones sobre el marco de intercambio de datos</w:t>
      </w:r>
    </w:p>
    <w:p w14:paraId="01B7CD1A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CWS/11/16</w:t>
      </w:r>
    </w:p>
    <w:p w14:paraId="03441586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bookmarkStart w:id="7" w:name="_Hlk149826520"/>
      <w:r>
        <w:t>Propuesta de establecimiento de una plataforma global para facilitar el intercambio de información en materia de PI</w:t>
      </w:r>
    </w:p>
    <w:bookmarkEnd w:id="7"/>
    <w:p w14:paraId="65FA5633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CWS/11/25</w:t>
      </w:r>
    </w:p>
    <w:p w14:paraId="4FC9CCEC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>Propuesta de proyecto de cuestionario de encuesta en relación con la aplicación de la Norma ST.91 de la OMPI</w:t>
      </w:r>
    </w:p>
    <w:p w14:paraId="0BC7493D" w14:textId="77777777" w:rsidR="003A1CAB" w:rsidRDefault="003A1CAB" w:rsidP="003A1CAB">
      <w:pPr>
        <w:pStyle w:val="ONUMFS"/>
        <w:numPr>
          <w:ilvl w:val="0"/>
          <w:numId w:val="0"/>
        </w:numPr>
        <w:ind w:left="1701"/>
      </w:pPr>
      <w:r>
        <w:t>Véase el documento CWS/11/26</w:t>
      </w:r>
    </w:p>
    <w:p w14:paraId="775151EB" w14:textId="77777777" w:rsidR="003A1CAB" w:rsidRPr="000770F8" w:rsidRDefault="003A1CAB" w:rsidP="00984FA0">
      <w:pPr>
        <w:pStyle w:val="ONUMFS"/>
        <w:numPr>
          <w:ilvl w:val="1"/>
          <w:numId w:val="3"/>
        </w:numPr>
        <w:spacing w:after="240"/>
        <w:ind w:left="1134" w:hanging="567"/>
      </w:pPr>
      <w:r>
        <w:t>Informe sobre los informes técnicos anuales de 2022</w:t>
      </w:r>
    </w:p>
    <w:p w14:paraId="05C09D62" w14:textId="77777777" w:rsidR="003A1CAB" w:rsidRDefault="003A1CAB" w:rsidP="003A1CAB">
      <w:pPr>
        <w:pStyle w:val="ONUMFS"/>
      </w:pPr>
      <w:r>
        <w:t>Colaboración y apoyo técnico</w:t>
      </w:r>
    </w:p>
    <w:p w14:paraId="49627990" w14:textId="77777777" w:rsidR="003A1CAB" w:rsidRDefault="003A1CAB" w:rsidP="00984FA0">
      <w:pPr>
        <w:pStyle w:val="ONUMFS"/>
        <w:numPr>
          <w:ilvl w:val="1"/>
          <w:numId w:val="3"/>
        </w:numPr>
        <w:spacing w:after="0"/>
        <w:ind w:left="1134" w:hanging="567"/>
      </w:pPr>
      <w:r>
        <w:t xml:space="preserve">Informe de la Oficina Internacional sobre la prestación de asesoramiento y asistencia técnica para el fortalecimiento de capacidades a las oficinas de propiedad industrial, con arreglo al mandato del CWS </w:t>
      </w:r>
    </w:p>
    <w:p w14:paraId="61DE75A8" w14:textId="77777777" w:rsidR="003A1CAB" w:rsidRDefault="003A1CAB" w:rsidP="003A1CAB">
      <w:pPr>
        <w:pStyle w:val="ONUME"/>
        <w:numPr>
          <w:ilvl w:val="0"/>
          <w:numId w:val="0"/>
        </w:numPr>
        <w:ind w:left="1701"/>
      </w:pPr>
      <w:r>
        <w:t>Véase el documento CWS/11/10</w:t>
      </w:r>
    </w:p>
    <w:p w14:paraId="2E54A0E6" w14:textId="77777777" w:rsidR="003A1CAB" w:rsidRDefault="003A1CAB" w:rsidP="00984FA0">
      <w:pPr>
        <w:pStyle w:val="ONUMFS"/>
        <w:numPr>
          <w:ilvl w:val="1"/>
          <w:numId w:val="3"/>
        </w:numPr>
        <w:spacing w:after="240"/>
        <w:ind w:left="1134" w:hanging="567"/>
      </w:pPr>
      <w:r>
        <w:t>Desarrollo de soluciones comunes de TIC para uso de las Oficinas</w:t>
      </w:r>
    </w:p>
    <w:p w14:paraId="7FAD5C7C" w14:textId="77777777" w:rsidR="003A1CAB" w:rsidRDefault="003A1CAB" w:rsidP="00984FA0">
      <w:pPr>
        <w:pStyle w:val="ONUMFS"/>
        <w:numPr>
          <w:ilvl w:val="1"/>
          <w:numId w:val="3"/>
        </w:numPr>
        <w:spacing w:after="240"/>
        <w:ind w:left="1134" w:hanging="567"/>
      </w:pPr>
      <w:r>
        <w:t>Proyectos de cooperación técnica entre las Oficinas</w:t>
      </w:r>
    </w:p>
    <w:p w14:paraId="38C20572" w14:textId="77777777" w:rsidR="003A1CAB" w:rsidRPr="007F43BE" w:rsidRDefault="003A1CAB" w:rsidP="00984FA0">
      <w:pPr>
        <w:pStyle w:val="ONUMFS"/>
        <w:keepNext/>
        <w:keepLines/>
      </w:pPr>
      <w:r>
        <w:lastRenderedPageBreak/>
        <w:t>Resumen de la presidencia</w:t>
      </w:r>
    </w:p>
    <w:p w14:paraId="6F3DD1DE" w14:textId="3C1C9624" w:rsidR="003A1CAB" w:rsidRPr="003A1CAB" w:rsidRDefault="003A1CAB" w:rsidP="00984FA0">
      <w:pPr>
        <w:pStyle w:val="ONUMFS"/>
        <w:keepNext/>
        <w:keepLines/>
        <w:spacing w:after="600"/>
      </w:pPr>
      <w:r>
        <w:t>Clausura de la sesión</w:t>
      </w:r>
    </w:p>
    <w:p w14:paraId="4C48B2B5" w14:textId="33FB47FE" w:rsidR="00152CEA" w:rsidRPr="00D36B79" w:rsidRDefault="003A1CAB" w:rsidP="003A1CAB">
      <w:pPr>
        <w:pStyle w:val="Endofdocument-Annex"/>
      </w:pPr>
      <w:r>
        <w:t>[Fin del documento]</w:t>
      </w:r>
    </w:p>
    <w:sectPr w:rsidR="00152CEA" w:rsidRPr="00D36B79" w:rsidSect="00031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F469" w14:textId="77777777" w:rsidR="000313A5" w:rsidRDefault="000313A5">
      <w:r>
        <w:separator/>
      </w:r>
    </w:p>
  </w:endnote>
  <w:endnote w:type="continuationSeparator" w:id="0">
    <w:p w14:paraId="03C0B74A" w14:textId="77777777" w:rsidR="000313A5" w:rsidRPr="009D30E6" w:rsidRDefault="000313A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344424A" w14:textId="77777777" w:rsidR="000313A5" w:rsidRPr="007E663E" w:rsidRDefault="000313A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4000F897" w14:textId="77777777" w:rsidR="000313A5" w:rsidRPr="007E663E" w:rsidRDefault="000313A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8A62" w14:textId="77777777" w:rsidR="006F4BB0" w:rsidRDefault="006F4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5A08" w14:textId="77777777" w:rsidR="006F4BB0" w:rsidRDefault="006F4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9264" w14:textId="77777777" w:rsidR="006F4BB0" w:rsidRDefault="006F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80C9" w14:textId="77777777" w:rsidR="000313A5" w:rsidRDefault="000313A5">
      <w:r>
        <w:separator/>
      </w:r>
    </w:p>
  </w:footnote>
  <w:footnote w:type="continuationSeparator" w:id="0">
    <w:p w14:paraId="6923710E" w14:textId="77777777" w:rsidR="000313A5" w:rsidRPr="009D30E6" w:rsidRDefault="000313A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FB50FD0" w14:textId="77777777" w:rsidR="000313A5" w:rsidRPr="007E663E" w:rsidRDefault="000313A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310627C7" w14:textId="77777777" w:rsidR="000313A5" w:rsidRPr="007E663E" w:rsidRDefault="000313A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A15B" w14:textId="77777777" w:rsidR="006F4BB0" w:rsidRDefault="006F4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74AE" w14:textId="162BC85F" w:rsidR="00F84474" w:rsidRDefault="000313A5" w:rsidP="00477D6B">
    <w:pPr>
      <w:jc w:val="right"/>
    </w:pPr>
    <w:bookmarkStart w:id="8" w:name="Code2"/>
    <w:bookmarkEnd w:id="8"/>
    <w:r>
      <w:t>CWS/11/1</w:t>
    </w:r>
  </w:p>
  <w:p w14:paraId="3EA70404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1C55D5">
      <w:rPr>
        <w:noProof/>
      </w:rPr>
      <w:t>1</w:t>
    </w:r>
    <w:r>
      <w:fldChar w:fldCharType="end"/>
    </w:r>
  </w:p>
  <w:p w14:paraId="66967746" w14:textId="77777777"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A5CD" w14:textId="77777777" w:rsidR="006F4BB0" w:rsidRDefault="006F4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826540">
    <w:abstractNumId w:val="2"/>
  </w:num>
  <w:num w:numId="2" w16cid:durableId="1625235804">
    <w:abstractNumId w:val="0"/>
  </w:num>
  <w:num w:numId="3" w16cid:durableId="12973728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A5"/>
    <w:rsid w:val="000313A5"/>
    <w:rsid w:val="000E3BB3"/>
    <w:rsid w:val="000F5E56"/>
    <w:rsid w:val="00110D0F"/>
    <w:rsid w:val="001362EE"/>
    <w:rsid w:val="00152CEA"/>
    <w:rsid w:val="001832A6"/>
    <w:rsid w:val="001C4DD3"/>
    <w:rsid w:val="001C55D5"/>
    <w:rsid w:val="001D50D1"/>
    <w:rsid w:val="002634C4"/>
    <w:rsid w:val="002F4E68"/>
    <w:rsid w:val="00307787"/>
    <w:rsid w:val="00354647"/>
    <w:rsid w:val="00377273"/>
    <w:rsid w:val="003845C1"/>
    <w:rsid w:val="00387287"/>
    <w:rsid w:val="003A1CAB"/>
    <w:rsid w:val="003D41D4"/>
    <w:rsid w:val="00423E3E"/>
    <w:rsid w:val="00427AF4"/>
    <w:rsid w:val="0045231F"/>
    <w:rsid w:val="00452850"/>
    <w:rsid w:val="004647DA"/>
    <w:rsid w:val="00477D6B"/>
    <w:rsid w:val="004A6C37"/>
    <w:rsid w:val="004C55C5"/>
    <w:rsid w:val="004F7418"/>
    <w:rsid w:val="00511D0C"/>
    <w:rsid w:val="0055013B"/>
    <w:rsid w:val="0056224D"/>
    <w:rsid w:val="00571B99"/>
    <w:rsid w:val="005D64EC"/>
    <w:rsid w:val="00605827"/>
    <w:rsid w:val="0066216D"/>
    <w:rsid w:val="00664847"/>
    <w:rsid w:val="00675021"/>
    <w:rsid w:val="006A06C6"/>
    <w:rsid w:val="006F4BB0"/>
    <w:rsid w:val="007B49E7"/>
    <w:rsid w:val="007E63AC"/>
    <w:rsid w:val="007E663E"/>
    <w:rsid w:val="00815082"/>
    <w:rsid w:val="00843582"/>
    <w:rsid w:val="00884791"/>
    <w:rsid w:val="008B14EA"/>
    <w:rsid w:val="008B2CC1"/>
    <w:rsid w:val="0090731E"/>
    <w:rsid w:val="00966A22"/>
    <w:rsid w:val="00972F03"/>
    <w:rsid w:val="00984FA0"/>
    <w:rsid w:val="009A0C8B"/>
    <w:rsid w:val="009B6241"/>
    <w:rsid w:val="00A16FC0"/>
    <w:rsid w:val="00A32C9E"/>
    <w:rsid w:val="00A7453D"/>
    <w:rsid w:val="00AB613D"/>
    <w:rsid w:val="00B65A0A"/>
    <w:rsid w:val="00B70486"/>
    <w:rsid w:val="00B72D36"/>
    <w:rsid w:val="00BA063E"/>
    <w:rsid w:val="00BC4164"/>
    <w:rsid w:val="00BD2DCC"/>
    <w:rsid w:val="00BE1A8C"/>
    <w:rsid w:val="00C06472"/>
    <w:rsid w:val="00C659D4"/>
    <w:rsid w:val="00C90559"/>
    <w:rsid w:val="00CD5D91"/>
    <w:rsid w:val="00D36B79"/>
    <w:rsid w:val="00D40CF0"/>
    <w:rsid w:val="00D56C7C"/>
    <w:rsid w:val="00D71B4D"/>
    <w:rsid w:val="00D90289"/>
    <w:rsid w:val="00D93D55"/>
    <w:rsid w:val="00E45C84"/>
    <w:rsid w:val="00E504E5"/>
    <w:rsid w:val="00E64585"/>
    <w:rsid w:val="00E73ABF"/>
    <w:rsid w:val="00EA6607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955AF"/>
  <w15:docId w15:val="{7370CFFC-C7DA-4D22-9439-627A8806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rsid w:val="003A1CA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CWS_11  (S)</Template>
  <TotalTime>1</TotalTime>
  <Pages>4</Pages>
  <Words>632</Words>
  <Characters>3608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 Prov. 3</vt:lpstr>
    </vt:vector>
  </TitlesOfParts>
  <Company>WIPO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 ES</dc:title>
  <dc:subject>Comité de Normas Técnicas de la OMPI (CWS), undécima sesión</dc:subject>
  <dc:creator>BOU LLORET Amparo</dc:creator>
  <cp:keywords>CWS/11, Spanish version</cp:keywords>
  <cp:lastModifiedBy>MOSTAJO Apolonia</cp:lastModifiedBy>
  <cp:revision>2</cp:revision>
  <dcterms:created xsi:type="dcterms:W3CDTF">2023-12-05T10:08:00Z</dcterms:created>
  <dcterms:modified xsi:type="dcterms:W3CDTF">2023-12-05T10:08:00Z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2023-11-08T14:12:42Z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91711d23-cd84-4611-a7f9-7c0d13f449dc</vt:lpwstr>
  </property>
  <property fmtid="{D5CDD505-2E9C-101B-9397-08002B2CF9AE}" pid="14" name="MSIP_Label_20773ee6-353b-4fb9-a59d-0b94c8c67bea_ContentBits">
    <vt:lpwstr>0</vt:lpwstr>
  </property>
</Properties>
</file>