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09C" w:rsidRDefault="00472A6E" w:rsidP="006173A5">
      <w:pPr>
        <w:pBdr>
          <w:bottom w:val="single" w:sz="4" w:space="11" w:color="auto"/>
        </w:pBdr>
        <w:spacing w:after="120"/>
        <w:ind w:right="-57"/>
        <w:jc w:val="right"/>
        <w:rPr>
          <w:lang w:val="es-419"/>
        </w:rPr>
      </w:pPr>
      <w:bookmarkStart w:id="0" w:name="_GoBack"/>
      <w:bookmarkEnd w:id="0"/>
      <w:r w:rsidRPr="00AF4150">
        <w:rPr>
          <w:noProof/>
          <w:lang w:val="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59709C" w:rsidRDefault="006173A5" w:rsidP="00472A6E">
      <w:pPr>
        <w:jc w:val="right"/>
        <w:rPr>
          <w:rFonts w:ascii="Arial Black" w:hAnsi="Arial Black"/>
          <w:caps/>
          <w:sz w:val="15"/>
          <w:lang w:val="es-419"/>
        </w:rPr>
      </w:pPr>
      <w:r w:rsidRPr="00AF4150">
        <w:rPr>
          <w:rFonts w:ascii="Arial Black" w:hAnsi="Arial Black"/>
          <w:caps/>
          <w:sz w:val="15"/>
          <w:lang w:val="es-419"/>
        </w:rPr>
        <w:t>CWS/9/</w:t>
      </w:r>
      <w:bookmarkStart w:id="1" w:name="Code"/>
      <w:bookmarkEnd w:id="1"/>
      <w:r w:rsidR="00057036" w:rsidRPr="00AF4150">
        <w:rPr>
          <w:rFonts w:ascii="Arial Black" w:hAnsi="Arial Black"/>
          <w:caps/>
          <w:sz w:val="15"/>
          <w:lang w:val="es-419"/>
        </w:rPr>
        <w:t>10</w:t>
      </w:r>
      <w:r w:rsidR="0059709C">
        <w:rPr>
          <w:rFonts w:ascii="Arial Black" w:hAnsi="Arial Black"/>
          <w:caps/>
          <w:sz w:val="15"/>
          <w:lang w:val="es-419"/>
        </w:rPr>
        <w:t xml:space="preserve"> rev.</w:t>
      </w:r>
    </w:p>
    <w:p w:rsidR="0059709C" w:rsidRDefault="00472A6E" w:rsidP="00472A6E">
      <w:pPr>
        <w:jc w:val="right"/>
        <w:rPr>
          <w:lang w:val="es-419"/>
        </w:rPr>
      </w:pPr>
      <w:r w:rsidRPr="00AF4150">
        <w:rPr>
          <w:rFonts w:ascii="Arial Black" w:hAnsi="Arial Black"/>
          <w:caps/>
          <w:sz w:val="15"/>
          <w:lang w:val="es-419"/>
        </w:rPr>
        <w:t xml:space="preserve">ORIGINAL: </w:t>
      </w:r>
      <w:bookmarkStart w:id="2" w:name="Original"/>
      <w:r w:rsidR="00057036" w:rsidRPr="00AF4150">
        <w:rPr>
          <w:rFonts w:ascii="Arial Black" w:hAnsi="Arial Black"/>
          <w:caps/>
          <w:sz w:val="15"/>
          <w:lang w:val="es-419"/>
        </w:rPr>
        <w:t>inglés</w:t>
      </w:r>
    </w:p>
    <w:bookmarkEnd w:id="2"/>
    <w:p w:rsidR="0059709C" w:rsidRDefault="00472A6E" w:rsidP="00472A6E">
      <w:pPr>
        <w:spacing w:after="1200"/>
        <w:jc w:val="right"/>
        <w:rPr>
          <w:lang w:val="es-419"/>
        </w:rPr>
      </w:pPr>
      <w:r w:rsidRPr="00AF4150">
        <w:rPr>
          <w:rFonts w:ascii="Arial Black" w:hAnsi="Arial Black"/>
          <w:caps/>
          <w:sz w:val="15"/>
          <w:lang w:val="es-419"/>
        </w:rPr>
        <w:t xml:space="preserve">fecha: </w:t>
      </w:r>
      <w:bookmarkStart w:id="3" w:name="Date"/>
      <w:r w:rsidR="00057036" w:rsidRPr="00AF4150">
        <w:rPr>
          <w:rFonts w:ascii="Arial Black" w:hAnsi="Arial Black"/>
          <w:caps/>
          <w:sz w:val="15"/>
          <w:lang w:val="es-419"/>
        </w:rPr>
        <w:t>10 de septiembre de 2021</w:t>
      </w:r>
    </w:p>
    <w:bookmarkEnd w:id="3"/>
    <w:p w:rsidR="0059709C" w:rsidRDefault="00167338" w:rsidP="00472A6E">
      <w:pPr>
        <w:pStyle w:val="Heading1"/>
        <w:spacing w:before="0" w:after="480"/>
        <w:rPr>
          <w:sz w:val="28"/>
          <w:lang w:val="es-419"/>
        </w:rPr>
      </w:pPr>
      <w:r w:rsidRPr="00AF4150">
        <w:rPr>
          <w:caps w:val="0"/>
          <w:sz w:val="28"/>
          <w:szCs w:val="28"/>
          <w:lang w:val="es-419"/>
        </w:rPr>
        <w:t>Comité de Normas Técnicas de la OMPI (CWS)</w:t>
      </w:r>
    </w:p>
    <w:p w:rsidR="0059709C" w:rsidRDefault="006173A5" w:rsidP="005B2EAE">
      <w:pPr>
        <w:outlineLvl w:val="1"/>
        <w:rPr>
          <w:b/>
          <w:sz w:val="24"/>
          <w:szCs w:val="24"/>
          <w:lang w:val="es-419"/>
        </w:rPr>
      </w:pPr>
      <w:r w:rsidRPr="00AF4150">
        <w:rPr>
          <w:b/>
          <w:sz w:val="24"/>
          <w:szCs w:val="24"/>
          <w:lang w:val="es-419"/>
        </w:rPr>
        <w:t>Novena sesión</w:t>
      </w:r>
    </w:p>
    <w:p w:rsidR="0059709C" w:rsidRDefault="00167338" w:rsidP="00472A6E">
      <w:pPr>
        <w:spacing w:after="720"/>
        <w:outlineLvl w:val="1"/>
        <w:rPr>
          <w:b/>
          <w:sz w:val="24"/>
          <w:szCs w:val="24"/>
          <w:lang w:val="es-419"/>
        </w:rPr>
      </w:pPr>
      <w:r w:rsidRPr="00AF4150">
        <w:rPr>
          <w:b/>
          <w:sz w:val="24"/>
          <w:szCs w:val="24"/>
          <w:lang w:val="es-419"/>
        </w:rPr>
        <w:t>Ginebra, 1 a 5 de noviembre de 2021</w:t>
      </w:r>
    </w:p>
    <w:p w:rsidR="0059709C" w:rsidRDefault="00252246" w:rsidP="00472A6E">
      <w:pPr>
        <w:spacing w:after="360"/>
        <w:rPr>
          <w:caps/>
          <w:sz w:val="24"/>
          <w:lang w:val="es-419"/>
        </w:rPr>
      </w:pPr>
      <w:bookmarkStart w:id="4" w:name="TitleOfDoc"/>
      <w:r w:rsidRPr="00AF4150">
        <w:rPr>
          <w:caps/>
          <w:sz w:val="24"/>
          <w:lang w:val="es-419"/>
        </w:rPr>
        <w:t>Informe sobre los planes de aplicación de la Norma ST.61 de la OMPI</w:t>
      </w:r>
    </w:p>
    <w:p w:rsidR="0059709C" w:rsidRDefault="00057036" w:rsidP="00604E47">
      <w:pPr>
        <w:spacing w:after="960"/>
        <w:rPr>
          <w:i/>
          <w:lang w:val="es-419"/>
        </w:rPr>
      </w:pPr>
      <w:bookmarkStart w:id="5" w:name="Prepared"/>
      <w:bookmarkEnd w:id="4"/>
      <w:bookmarkEnd w:id="5"/>
      <w:r w:rsidRPr="00AF4150">
        <w:rPr>
          <w:i/>
          <w:lang w:val="es-419"/>
        </w:rPr>
        <w:t>Documento preparado por la Oficina Internacional</w:t>
      </w:r>
    </w:p>
    <w:p w:rsidR="0059709C" w:rsidRDefault="00F0296C" w:rsidP="00604E47">
      <w:pPr>
        <w:pStyle w:val="Heading2"/>
        <w:spacing w:before="0" w:after="120"/>
        <w:rPr>
          <w:rFonts w:eastAsia="Malgun Gothic"/>
          <w:caps w:val="0"/>
          <w:szCs w:val="22"/>
          <w:lang w:val="es-419"/>
        </w:rPr>
      </w:pPr>
      <w:r w:rsidRPr="00AF4150">
        <w:rPr>
          <w:rFonts w:eastAsia="Malgun Gothic"/>
          <w:caps w:val="0"/>
          <w:szCs w:val="22"/>
          <w:lang w:val="es-419"/>
        </w:rPr>
        <w:t>ANTECEDENTES</w:t>
      </w:r>
    </w:p>
    <w:p w:rsidR="0059709C" w:rsidRDefault="00F0296C" w:rsidP="00604E47">
      <w:pPr>
        <w:pStyle w:val="ONUMFS"/>
        <w:rPr>
          <w:lang w:val="es-419"/>
        </w:rPr>
      </w:pPr>
      <w:r w:rsidRPr="00AF4150">
        <w:rPr>
          <w:lang w:val="es-419"/>
        </w:rPr>
        <w:t>En su octava sesión, celebrada en 2020, el Comité de Normas Técnicas de la OMPI (CWS) adoptó la Norma ST.61 de la OMPI, “Recomendación para el intercambio de datos sobre la situación jurídica de las marcas”.</w:t>
      </w:r>
      <w:r w:rsidR="00C3541F" w:rsidRPr="00AF4150">
        <w:rPr>
          <w:lang w:val="es-419"/>
        </w:rPr>
        <w:t xml:space="preserve"> </w:t>
      </w:r>
      <w:r w:rsidRPr="00AF4150">
        <w:rPr>
          <w:lang w:val="es-419"/>
        </w:rPr>
        <w:t xml:space="preserve">El CWS pidió a la Secretaría que </w:t>
      </w:r>
      <w:r w:rsidR="00C15651" w:rsidRPr="00AF4150">
        <w:rPr>
          <w:lang w:val="es-419"/>
        </w:rPr>
        <w:t>publique</w:t>
      </w:r>
      <w:r w:rsidRPr="00AF4150">
        <w:rPr>
          <w:lang w:val="es-419"/>
        </w:rPr>
        <w:t xml:space="preserve"> una circular en la que se invite a las Oficinas de Propiedad Intelectual (OPI) a evaluar sus prácticas operacionales y sus sistemas de TI en relación con la Norma ST.61 de la OMPI, y a presentar un plan de aplicación y una tabla de correspondencias para su Oficina.</w:t>
      </w:r>
      <w:r w:rsidR="00C84007" w:rsidRPr="00AF4150">
        <w:rPr>
          <w:lang w:val="es-419"/>
        </w:rPr>
        <w:t xml:space="preserve"> </w:t>
      </w:r>
      <w:r w:rsidRPr="00AF4150">
        <w:rPr>
          <w:lang w:val="es-419"/>
        </w:rPr>
        <w:t>(Véanse los párrafos 27 a 30 del documento CWS/8/24).</w:t>
      </w:r>
    </w:p>
    <w:p w:rsidR="0059709C" w:rsidRDefault="00F0296C" w:rsidP="00604E47">
      <w:pPr>
        <w:pStyle w:val="Heading2"/>
        <w:spacing w:before="0" w:after="120"/>
        <w:rPr>
          <w:szCs w:val="22"/>
          <w:lang w:val="es-419"/>
        </w:rPr>
      </w:pPr>
      <w:r w:rsidRPr="00AF4150">
        <w:rPr>
          <w:szCs w:val="22"/>
          <w:lang w:val="es-419"/>
        </w:rPr>
        <w:t>INFORME</w:t>
      </w:r>
    </w:p>
    <w:p w:rsidR="0059709C" w:rsidRDefault="0059709C" w:rsidP="00141041">
      <w:pPr>
        <w:pStyle w:val="ONUMFS"/>
        <w:rPr>
          <w:lang w:val="es-419"/>
        </w:rPr>
      </w:pPr>
      <w:r w:rsidRPr="0059709C">
        <w:rPr>
          <w:lang w:val="es-ES_tradnl"/>
        </w:rPr>
        <w:t>En julio de 2021, la Secretaría publicó la Circular C.CWS.152 en la que invita a las OPI a exponer sus planes de aplicación y tablas de corresponde</w:t>
      </w:r>
      <w:r w:rsidR="000D11A2">
        <w:rPr>
          <w:lang w:val="es-ES_tradnl"/>
        </w:rPr>
        <w:t>ncias provisionales de la Norma </w:t>
      </w:r>
      <w:r w:rsidRPr="0059709C">
        <w:rPr>
          <w:lang w:val="es-ES_tradnl"/>
        </w:rPr>
        <w:t>ST.61. Catorce OPI respondieron a la Circular y once proporcionaron tablas de correspondencias.</w:t>
      </w:r>
      <w:r>
        <w:rPr>
          <w:lang w:val="es-419"/>
        </w:rPr>
        <w:t xml:space="preserve"> </w:t>
      </w:r>
      <w:r w:rsidR="00141041" w:rsidRPr="00141041">
        <w:rPr>
          <w:lang w:val="es-ES_tradnl"/>
        </w:rPr>
        <w:t>Las tablas de correspondencias se reproducen en el Anexo del presente documento para su examen por el CWS.</w:t>
      </w:r>
    </w:p>
    <w:p w:rsidR="0059709C" w:rsidRDefault="006B2A0C" w:rsidP="00604E47">
      <w:pPr>
        <w:pStyle w:val="ONUMFS"/>
        <w:rPr>
          <w:lang w:val="es-419"/>
        </w:rPr>
      </w:pPr>
      <w:r w:rsidRPr="00AF4150">
        <w:rPr>
          <w:lang w:val="es-419"/>
        </w:rPr>
        <w:t>Tres de las OPI que respondieron tienen</w:t>
      </w:r>
      <w:r w:rsidR="00EB1A94" w:rsidRPr="00AF4150">
        <w:rPr>
          <w:lang w:val="es-419"/>
        </w:rPr>
        <w:t xml:space="preserve"> previsto empezar a aplicar la N</w:t>
      </w:r>
      <w:r w:rsidRPr="00AF4150">
        <w:rPr>
          <w:lang w:val="es-419"/>
        </w:rPr>
        <w:t>orma ST.61 en 2022 o 2023.</w:t>
      </w:r>
      <w:r w:rsidR="00C3541F" w:rsidRPr="00AF4150">
        <w:rPr>
          <w:lang w:val="es-419"/>
        </w:rPr>
        <w:t xml:space="preserve"> </w:t>
      </w:r>
      <w:r w:rsidR="0059709C">
        <w:rPr>
          <w:lang w:val="es-419"/>
        </w:rPr>
        <w:t>Seis</w:t>
      </w:r>
      <w:r w:rsidRPr="00AF4150">
        <w:rPr>
          <w:lang w:val="es-419"/>
        </w:rPr>
        <w:t xml:space="preserve"> OPI declararon que en estos momentos no saben cuándo podrán iniciar la aplicación.</w:t>
      </w:r>
      <w:r w:rsidR="00C3541F" w:rsidRPr="00AF4150">
        <w:rPr>
          <w:lang w:val="es-419"/>
        </w:rPr>
        <w:t xml:space="preserve"> </w:t>
      </w:r>
      <w:r w:rsidRPr="00AF4150">
        <w:rPr>
          <w:lang w:val="es-419"/>
        </w:rPr>
        <w:t>Las otras cinco OPI no facilitaron información sobre su calendario de aplicación.</w:t>
      </w:r>
    </w:p>
    <w:p w:rsidR="0059709C" w:rsidRDefault="00C3541F" w:rsidP="00604E47">
      <w:pPr>
        <w:pStyle w:val="ONUMFS"/>
        <w:keepNext/>
        <w:keepLines/>
        <w:tabs>
          <w:tab w:val="clear" w:pos="567"/>
          <w:tab w:val="left" w:pos="6096"/>
        </w:tabs>
        <w:ind w:left="5529"/>
        <w:rPr>
          <w:i/>
          <w:lang w:val="es-419" w:eastAsia="en-US"/>
        </w:rPr>
      </w:pPr>
      <w:r w:rsidRPr="00AF4150">
        <w:rPr>
          <w:i/>
          <w:lang w:val="es-419" w:eastAsia="en-US"/>
        </w:rPr>
        <w:lastRenderedPageBreak/>
        <w:t>Se invita al CWS a:</w:t>
      </w:r>
    </w:p>
    <w:p w:rsidR="0059709C" w:rsidRDefault="00DF737E" w:rsidP="00604E47">
      <w:pPr>
        <w:pStyle w:val="ONUMFS"/>
        <w:keepNext/>
        <w:keepLines/>
        <w:numPr>
          <w:ilvl w:val="1"/>
          <w:numId w:val="6"/>
        </w:numPr>
        <w:tabs>
          <w:tab w:val="clear" w:pos="1134"/>
          <w:tab w:val="left" w:pos="6663"/>
        </w:tabs>
        <w:ind w:left="6096"/>
        <w:rPr>
          <w:i/>
          <w:lang w:val="es-419" w:eastAsia="en-US"/>
        </w:rPr>
      </w:pPr>
      <w:r w:rsidRPr="00AF4150">
        <w:rPr>
          <w:i/>
          <w:lang w:val="es-419" w:eastAsia="en-US"/>
        </w:rPr>
        <w:t>tomar nota del contenido del presente documento y de las tablas de correspondencias</w:t>
      </w:r>
      <w:r w:rsidR="00604E47" w:rsidRPr="00AF4150">
        <w:rPr>
          <w:i/>
          <w:lang w:val="es-419" w:eastAsia="en-US"/>
        </w:rPr>
        <w:t xml:space="preserve"> que se mencionan en el párrafo 2 </w:t>
      </w:r>
      <w:r w:rsidRPr="00AF4150">
        <w:rPr>
          <w:i/>
          <w:lang w:val="es-419" w:eastAsia="en-US"/>
        </w:rPr>
        <w:t>s</w:t>
      </w:r>
      <w:r w:rsidR="001D01F3" w:rsidRPr="00AF4150">
        <w:rPr>
          <w:i/>
          <w:lang w:val="es-419" w:eastAsia="en-US"/>
        </w:rPr>
        <w:t>upra y que se reproducen en el A</w:t>
      </w:r>
      <w:r w:rsidRPr="00AF4150">
        <w:rPr>
          <w:i/>
          <w:lang w:val="es-419" w:eastAsia="en-US"/>
        </w:rPr>
        <w:t>nexo del presente documento; y</w:t>
      </w:r>
    </w:p>
    <w:p w:rsidR="0059709C" w:rsidRDefault="00E33AE2" w:rsidP="00604E47">
      <w:pPr>
        <w:pStyle w:val="ONUMFS"/>
        <w:numPr>
          <w:ilvl w:val="1"/>
          <w:numId w:val="6"/>
        </w:numPr>
        <w:tabs>
          <w:tab w:val="clear" w:pos="1134"/>
          <w:tab w:val="left" w:pos="6663"/>
        </w:tabs>
        <w:spacing w:after="600"/>
        <w:ind w:left="6096"/>
        <w:rPr>
          <w:i/>
          <w:lang w:val="es-419" w:eastAsia="en-US"/>
        </w:rPr>
      </w:pPr>
      <w:r w:rsidRPr="00AF4150">
        <w:rPr>
          <w:i/>
          <w:lang w:val="es-419" w:eastAsia="en-US"/>
        </w:rPr>
        <w:t xml:space="preserve">aprobar la publicación de las tablas de correspondencias </w:t>
      </w:r>
      <w:r w:rsidR="00F55C81" w:rsidRPr="00AF4150">
        <w:rPr>
          <w:i/>
          <w:lang w:val="es-419" w:eastAsia="en-US"/>
        </w:rPr>
        <w:t>para</w:t>
      </w:r>
      <w:r w:rsidRPr="00AF4150">
        <w:rPr>
          <w:i/>
          <w:lang w:val="es-419" w:eastAsia="en-US"/>
        </w:rPr>
        <w:t xml:space="preserve"> la Norma ST.61 de la OMPI r</w:t>
      </w:r>
      <w:r w:rsidR="004F1C9E" w:rsidRPr="00AF4150">
        <w:rPr>
          <w:i/>
          <w:lang w:val="es-419" w:eastAsia="en-US"/>
        </w:rPr>
        <w:t>ecibidas, que se recogen en el A</w:t>
      </w:r>
      <w:r w:rsidRPr="00AF4150">
        <w:rPr>
          <w:i/>
          <w:lang w:val="es-419" w:eastAsia="en-US"/>
        </w:rPr>
        <w:t>nexo del presente documento, en la parte 7.13 del Manual de la OMPI de Información y Documentación en materia de Propiedad Industrial.</w:t>
      </w:r>
    </w:p>
    <w:p w:rsidR="0059709C" w:rsidRDefault="00E33AE2" w:rsidP="00E33AE2">
      <w:pPr>
        <w:pStyle w:val="Endofdocument"/>
        <w:ind w:left="5530"/>
        <w:rPr>
          <w:rFonts w:cs="Arial"/>
          <w:sz w:val="22"/>
          <w:szCs w:val="22"/>
          <w:lang w:val="es-419"/>
        </w:rPr>
      </w:pPr>
      <w:r w:rsidRPr="00AF4150">
        <w:rPr>
          <w:rFonts w:cs="Arial"/>
          <w:sz w:val="22"/>
          <w:szCs w:val="22"/>
          <w:lang w:val="es-419"/>
        </w:rPr>
        <w:t>[Sigue el Anexo]</w:t>
      </w:r>
    </w:p>
    <w:p w:rsidR="00C84007" w:rsidRPr="00AF4150" w:rsidRDefault="00C84007" w:rsidP="00C84007">
      <w:pPr>
        <w:pStyle w:val="Endofdocument"/>
        <w:ind w:left="5530"/>
        <w:rPr>
          <w:rFonts w:cs="Arial"/>
          <w:sz w:val="22"/>
          <w:szCs w:val="22"/>
          <w:lang w:val="es-419"/>
        </w:rPr>
        <w:sectPr w:rsidR="00C84007" w:rsidRPr="00AF4150" w:rsidSect="00604E47">
          <w:headerReference w:type="default" r:id="rId9"/>
          <w:endnotePr>
            <w:numFmt w:val="decimal"/>
          </w:endnotePr>
          <w:pgSz w:w="11907" w:h="16840" w:code="9"/>
          <w:pgMar w:top="567" w:right="1418" w:bottom="1134" w:left="1418" w:header="510" w:footer="1021" w:gutter="0"/>
          <w:cols w:space="720"/>
          <w:titlePg/>
          <w:docGrid w:linePitch="299"/>
        </w:sectPr>
      </w:pPr>
    </w:p>
    <w:p w:rsidR="0059709C" w:rsidRDefault="00E33AE2" w:rsidP="00604E47">
      <w:pPr>
        <w:pStyle w:val="Heading2"/>
        <w:spacing w:after="120"/>
        <w:rPr>
          <w:szCs w:val="22"/>
          <w:lang w:val="es-419"/>
        </w:rPr>
      </w:pPr>
      <w:r w:rsidRPr="00AF4150">
        <w:rPr>
          <w:szCs w:val="22"/>
          <w:lang w:val="es-419"/>
        </w:rPr>
        <w:t>ANEXO</w:t>
      </w:r>
    </w:p>
    <w:p w:rsidR="0059709C" w:rsidRDefault="00E05EFF" w:rsidP="00604E47">
      <w:pPr>
        <w:spacing w:after="600"/>
        <w:rPr>
          <w:rStyle w:val="Hyperlink"/>
          <w:color w:val="auto"/>
          <w:szCs w:val="22"/>
          <w:lang w:val="es-419"/>
        </w:rPr>
      </w:pPr>
      <w:r w:rsidRPr="00AF4150">
        <w:rPr>
          <w:rFonts w:eastAsia="Times New Roman"/>
          <w:szCs w:val="22"/>
          <w:lang w:val="es-419" w:eastAsia="fr-CH"/>
        </w:rPr>
        <w:t>Tablas consolidadas de correspondencias para la Norma ST.61 de las OPI</w:t>
      </w:r>
      <w:r w:rsidRPr="00AF4150">
        <w:rPr>
          <w:szCs w:val="22"/>
          <w:lang w:val="es-419"/>
        </w:rPr>
        <w:t xml:space="preserve">: </w:t>
      </w:r>
      <w:r w:rsidR="00C84007" w:rsidRPr="00AF4150">
        <w:rPr>
          <w:szCs w:val="22"/>
          <w:lang w:val="es-419"/>
        </w:rPr>
        <w:fldChar w:fldCharType="begin"/>
      </w:r>
      <w:r w:rsidRPr="00AF4150">
        <w:rPr>
          <w:szCs w:val="22"/>
          <w:lang w:val="es-419"/>
        </w:rPr>
        <w:instrText xml:space="preserve"> hyperlink "https://www.wipo.int/edocs/mdocs/cws/en/cws_9/cws_9_10-annex1.xlsx" </w:instrText>
      </w:r>
      <w:r w:rsidR="009F7852" w:rsidRPr="00AF4150">
        <w:rPr>
          <w:szCs w:val="22"/>
          <w:lang w:val="es-419"/>
        </w:rPr>
      </w:r>
      <w:r w:rsidR="00C84007" w:rsidRPr="00AF4150">
        <w:rPr>
          <w:szCs w:val="22"/>
          <w:lang w:val="es-419"/>
        </w:rPr>
        <w:fldChar w:fldCharType="separate"/>
      </w:r>
      <w:r w:rsidR="00C84007" w:rsidRPr="00AF4150">
        <w:rPr>
          <w:rStyle w:val="Hyperlink"/>
          <w:lang w:val="es-419"/>
        </w:rPr>
        <w:t>cws_9_10-annex1.xlsx</w:t>
      </w:r>
    </w:p>
    <w:p w:rsidR="00E33AE2" w:rsidRPr="00AF4150" w:rsidRDefault="00C84007" w:rsidP="00E05EFF">
      <w:pPr>
        <w:pStyle w:val="Endofdocument"/>
        <w:ind w:left="5530"/>
        <w:rPr>
          <w:rFonts w:cs="Arial"/>
          <w:sz w:val="22"/>
          <w:szCs w:val="22"/>
          <w:lang w:val="es-419"/>
        </w:rPr>
      </w:pPr>
      <w:r w:rsidRPr="00AF4150">
        <w:rPr>
          <w:rFonts w:eastAsia="SimSun" w:cs="Arial"/>
          <w:sz w:val="22"/>
          <w:szCs w:val="22"/>
          <w:lang w:val="es-419" w:eastAsia="zh-CN"/>
        </w:rPr>
        <w:fldChar w:fldCharType="end"/>
      </w:r>
      <w:r w:rsidR="00E05EFF" w:rsidRPr="00AF4150">
        <w:rPr>
          <w:rFonts w:cs="Arial"/>
          <w:sz w:val="22"/>
          <w:szCs w:val="22"/>
          <w:lang w:val="es-419"/>
        </w:rPr>
        <w:t>[Fin del Anexo y del documento]</w:t>
      </w:r>
    </w:p>
    <w:sectPr w:rsidR="00E33AE2" w:rsidRPr="00AF4150" w:rsidSect="00057036">
      <w:headerReference w:type="default" r:id="rId10"/>
      <w:head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C0" w:rsidRDefault="004449C0">
      <w:r>
        <w:separator/>
      </w:r>
    </w:p>
  </w:endnote>
  <w:endnote w:type="continuationSeparator" w:id="0">
    <w:p w:rsidR="004449C0" w:rsidRPr="009D30E6" w:rsidRDefault="004449C0" w:rsidP="007E663E">
      <w:pPr>
        <w:rPr>
          <w:sz w:val="17"/>
          <w:szCs w:val="17"/>
        </w:rPr>
      </w:pPr>
      <w:r w:rsidRPr="009D30E6">
        <w:rPr>
          <w:sz w:val="17"/>
          <w:szCs w:val="17"/>
        </w:rPr>
        <w:separator/>
      </w:r>
    </w:p>
    <w:p w:rsidR="004449C0" w:rsidRPr="007E663E" w:rsidRDefault="004449C0" w:rsidP="007E663E">
      <w:pPr>
        <w:spacing w:after="60"/>
        <w:rPr>
          <w:sz w:val="17"/>
          <w:szCs w:val="17"/>
        </w:rPr>
      </w:pPr>
      <w:r>
        <w:rPr>
          <w:sz w:val="17"/>
        </w:rPr>
        <w:t>[Continuación de la nota de la página anterior]</w:t>
      </w:r>
    </w:p>
  </w:endnote>
  <w:endnote w:type="continuationNotice" w:id="1">
    <w:p w:rsidR="004449C0" w:rsidRPr="007E663E" w:rsidRDefault="004449C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C0" w:rsidRDefault="004449C0">
      <w:r>
        <w:separator/>
      </w:r>
    </w:p>
  </w:footnote>
  <w:footnote w:type="continuationSeparator" w:id="0">
    <w:p w:rsidR="004449C0" w:rsidRPr="009D30E6" w:rsidRDefault="004449C0" w:rsidP="007E663E">
      <w:pPr>
        <w:rPr>
          <w:sz w:val="17"/>
          <w:szCs w:val="17"/>
        </w:rPr>
      </w:pPr>
      <w:r w:rsidRPr="009D30E6">
        <w:rPr>
          <w:sz w:val="17"/>
          <w:szCs w:val="17"/>
        </w:rPr>
        <w:separator/>
      </w:r>
    </w:p>
    <w:p w:rsidR="004449C0" w:rsidRPr="007E663E" w:rsidRDefault="004449C0" w:rsidP="007E663E">
      <w:pPr>
        <w:spacing w:after="60"/>
        <w:rPr>
          <w:sz w:val="17"/>
          <w:szCs w:val="17"/>
        </w:rPr>
      </w:pPr>
      <w:r>
        <w:rPr>
          <w:sz w:val="17"/>
        </w:rPr>
        <w:t>[Continuación de la nota de la página anterior]</w:t>
      </w:r>
    </w:p>
  </w:footnote>
  <w:footnote w:type="continuationNotice" w:id="1">
    <w:p w:rsidR="004449C0" w:rsidRPr="007E663E" w:rsidRDefault="004449C0"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007" w:rsidRPr="00141041" w:rsidRDefault="00C84007" w:rsidP="00477D6B">
    <w:pPr>
      <w:jc w:val="right"/>
    </w:pPr>
    <w:r w:rsidRPr="00141041">
      <w:t>CWS/9/10</w:t>
    </w:r>
    <w:r w:rsidR="00141041" w:rsidRPr="00141041">
      <w:t xml:space="preserve"> R</w:t>
    </w:r>
    <w:r w:rsidR="00141041">
      <w:t>ev.</w:t>
    </w:r>
  </w:p>
  <w:p w:rsidR="00C84007" w:rsidRPr="00E15CC2" w:rsidRDefault="00E15CC2" w:rsidP="00477D6B">
    <w:pPr>
      <w:jc w:val="right"/>
    </w:pPr>
    <w:r w:rsidRPr="00E15CC2">
      <w:t>página</w:t>
    </w:r>
    <w:r w:rsidR="00C84007" w:rsidRPr="00E15CC2">
      <w:t xml:space="preserve"> </w:t>
    </w:r>
    <w:r w:rsidR="00C84007" w:rsidRPr="00E15CC2">
      <w:fldChar w:fldCharType="begin"/>
    </w:r>
    <w:r w:rsidR="00C84007" w:rsidRPr="00E15CC2">
      <w:instrText xml:space="preserve"> PAGE  \* MERGEFORMAT </w:instrText>
    </w:r>
    <w:r w:rsidR="00C84007" w:rsidRPr="00E15CC2">
      <w:fldChar w:fldCharType="separate"/>
    </w:r>
    <w:r w:rsidR="009F7852">
      <w:rPr>
        <w:noProof/>
      </w:rPr>
      <w:t>2</w:t>
    </w:r>
    <w:r w:rsidR="00C84007" w:rsidRPr="00E15CC2">
      <w:fldChar w:fldCharType="end"/>
    </w:r>
  </w:p>
  <w:p w:rsidR="00C84007" w:rsidRDefault="00C84007" w:rsidP="00477D6B">
    <w:pPr>
      <w:jc w:val="right"/>
    </w:pPr>
  </w:p>
  <w:p w:rsidR="00C84007" w:rsidRDefault="00C84007"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057036" w:rsidP="00477D6B">
    <w:pPr>
      <w:jc w:val="right"/>
      <w:rPr>
        <w:caps/>
      </w:rPr>
    </w:pPr>
    <w:bookmarkStart w:id="6" w:name="Code2"/>
    <w:bookmarkEnd w:id="6"/>
    <w:r>
      <w:rPr>
        <w:caps/>
      </w:rPr>
      <w:t>CWS/9/10</w:t>
    </w:r>
  </w:p>
  <w:p w:rsidR="00AE7F20" w:rsidRDefault="00AE7F20" w:rsidP="00477D6B">
    <w:pPr>
      <w:jc w:val="right"/>
    </w:pPr>
    <w:r>
      <w:t xml:space="preserve">página </w:t>
    </w:r>
    <w:r>
      <w:fldChar w:fldCharType="begin"/>
    </w:r>
    <w:r>
      <w:instrText xml:space="preserve"> PAGE  \* MERGEFORMAT </w:instrText>
    </w:r>
    <w:r>
      <w:fldChar w:fldCharType="separate"/>
    </w:r>
    <w:r w:rsidR="00057036">
      <w:rPr>
        <w:noProof/>
      </w:rPr>
      <w:t>1</w:t>
    </w:r>
    <w:r>
      <w:fldChar w:fldCharType="end"/>
    </w:r>
  </w:p>
  <w:p w:rsidR="00AE7F20" w:rsidRDefault="00AE7F20" w:rsidP="00477D6B">
    <w:pPr>
      <w:jc w:val="right"/>
    </w:pPr>
  </w:p>
  <w:p w:rsidR="00EC1AA7" w:rsidRDefault="00EC1AA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41F" w:rsidRPr="00141041" w:rsidRDefault="00C3541F" w:rsidP="00C3541F">
    <w:pPr>
      <w:jc w:val="right"/>
    </w:pPr>
    <w:r w:rsidRPr="00141041">
      <w:t>CWS/9/10</w:t>
    </w:r>
    <w:r w:rsidR="00141041" w:rsidRPr="00141041">
      <w:t xml:space="preserve"> R</w:t>
    </w:r>
    <w:r w:rsidR="00141041">
      <w:t>ev.</w:t>
    </w:r>
  </w:p>
  <w:p w:rsidR="00C3541F" w:rsidRDefault="00C3541F" w:rsidP="00C3541F">
    <w:pPr>
      <w:jc w:val="right"/>
    </w:pPr>
    <w:r>
      <w:t>ANEXO</w:t>
    </w:r>
  </w:p>
  <w:p w:rsidR="00604E47" w:rsidRDefault="00604E47" w:rsidP="00C3541F">
    <w:pPr>
      <w:jc w:val="right"/>
    </w:pPr>
  </w:p>
  <w:p w:rsidR="00604E47" w:rsidRDefault="00604E47" w:rsidP="00C3541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057036"/>
    <w:rsid w:val="00010686"/>
    <w:rsid w:val="000261C7"/>
    <w:rsid w:val="00052915"/>
    <w:rsid w:val="00057036"/>
    <w:rsid w:val="000D11A2"/>
    <w:rsid w:val="000E1328"/>
    <w:rsid w:val="000E3BB3"/>
    <w:rsid w:val="000F5E56"/>
    <w:rsid w:val="001362EE"/>
    <w:rsid w:val="00141041"/>
    <w:rsid w:val="00152CEA"/>
    <w:rsid w:val="00167338"/>
    <w:rsid w:val="001832A6"/>
    <w:rsid w:val="001D01F3"/>
    <w:rsid w:val="00252246"/>
    <w:rsid w:val="002634C4"/>
    <w:rsid w:val="002C2E2F"/>
    <w:rsid w:val="002D23B5"/>
    <w:rsid w:val="002E0F47"/>
    <w:rsid w:val="002F4E68"/>
    <w:rsid w:val="00310826"/>
    <w:rsid w:val="00354647"/>
    <w:rsid w:val="0035723D"/>
    <w:rsid w:val="00377273"/>
    <w:rsid w:val="003845C1"/>
    <w:rsid w:val="00387287"/>
    <w:rsid w:val="003E48F1"/>
    <w:rsid w:val="003F347A"/>
    <w:rsid w:val="00423E3E"/>
    <w:rsid w:val="00427AF4"/>
    <w:rsid w:val="004449C0"/>
    <w:rsid w:val="0045231F"/>
    <w:rsid w:val="004647DA"/>
    <w:rsid w:val="0046793F"/>
    <w:rsid w:val="00472A6E"/>
    <w:rsid w:val="00477808"/>
    <w:rsid w:val="00477D6B"/>
    <w:rsid w:val="004833AF"/>
    <w:rsid w:val="004A6C37"/>
    <w:rsid w:val="004E297D"/>
    <w:rsid w:val="004F1C9E"/>
    <w:rsid w:val="00531B02"/>
    <w:rsid w:val="005332F0"/>
    <w:rsid w:val="0055013B"/>
    <w:rsid w:val="00562040"/>
    <w:rsid w:val="00571B99"/>
    <w:rsid w:val="0059709C"/>
    <w:rsid w:val="005B2EAE"/>
    <w:rsid w:val="00604E47"/>
    <w:rsid w:val="00605827"/>
    <w:rsid w:val="006173A5"/>
    <w:rsid w:val="00675021"/>
    <w:rsid w:val="006A06C6"/>
    <w:rsid w:val="006B2A0C"/>
    <w:rsid w:val="007224C8"/>
    <w:rsid w:val="00794BE2"/>
    <w:rsid w:val="007A5581"/>
    <w:rsid w:val="007B71FE"/>
    <w:rsid w:val="007D781E"/>
    <w:rsid w:val="007E663E"/>
    <w:rsid w:val="00815082"/>
    <w:rsid w:val="0088395E"/>
    <w:rsid w:val="008B2CC1"/>
    <w:rsid w:val="008E6BD6"/>
    <w:rsid w:val="0090731E"/>
    <w:rsid w:val="00912625"/>
    <w:rsid w:val="00954F6A"/>
    <w:rsid w:val="00966A22"/>
    <w:rsid w:val="00972F03"/>
    <w:rsid w:val="0098367F"/>
    <w:rsid w:val="009A0C8B"/>
    <w:rsid w:val="009A20CD"/>
    <w:rsid w:val="009B6241"/>
    <w:rsid w:val="009F7852"/>
    <w:rsid w:val="00A16FC0"/>
    <w:rsid w:val="00A32C9E"/>
    <w:rsid w:val="00AB613D"/>
    <w:rsid w:val="00AE6846"/>
    <w:rsid w:val="00AE7F20"/>
    <w:rsid w:val="00AF4150"/>
    <w:rsid w:val="00B108E6"/>
    <w:rsid w:val="00B534D5"/>
    <w:rsid w:val="00B65A0A"/>
    <w:rsid w:val="00B67CDC"/>
    <w:rsid w:val="00B72D36"/>
    <w:rsid w:val="00B96FB1"/>
    <w:rsid w:val="00BC4164"/>
    <w:rsid w:val="00BD2DCC"/>
    <w:rsid w:val="00BF5A8E"/>
    <w:rsid w:val="00C15651"/>
    <w:rsid w:val="00C3541F"/>
    <w:rsid w:val="00C84007"/>
    <w:rsid w:val="00C90559"/>
    <w:rsid w:val="00CA0500"/>
    <w:rsid w:val="00CA2251"/>
    <w:rsid w:val="00D56C7C"/>
    <w:rsid w:val="00D71B4D"/>
    <w:rsid w:val="00D90289"/>
    <w:rsid w:val="00D93D55"/>
    <w:rsid w:val="00DC4C60"/>
    <w:rsid w:val="00DD6CF4"/>
    <w:rsid w:val="00DF3516"/>
    <w:rsid w:val="00DF737E"/>
    <w:rsid w:val="00E0079A"/>
    <w:rsid w:val="00E05EFF"/>
    <w:rsid w:val="00E15CC2"/>
    <w:rsid w:val="00E33AE2"/>
    <w:rsid w:val="00E444DA"/>
    <w:rsid w:val="00E45C84"/>
    <w:rsid w:val="00E504E5"/>
    <w:rsid w:val="00E977E1"/>
    <w:rsid w:val="00EB0D93"/>
    <w:rsid w:val="00EB1A94"/>
    <w:rsid w:val="00EB4463"/>
    <w:rsid w:val="00EB7A3E"/>
    <w:rsid w:val="00EC1AA7"/>
    <w:rsid w:val="00EC401A"/>
    <w:rsid w:val="00EF530A"/>
    <w:rsid w:val="00EF6622"/>
    <w:rsid w:val="00EF78A9"/>
    <w:rsid w:val="00F0296C"/>
    <w:rsid w:val="00F26DF5"/>
    <w:rsid w:val="00F55408"/>
    <w:rsid w:val="00F55C81"/>
    <w:rsid w:val="00F66152"/>
    <w:rsid w:val="00F80845"/>
    <w:rsid w:val="00F84474"/>
    <w:rsid w:val="00F94EAE"/>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C5F5C6-1331-4172-BC89-54F48DB5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C84007"/>
    <w:rPr>
      <w:rFonts w:ascii="Arial" w:eastAsia="SimSun" w:hAnsi="Arial" w:cs="Arial"/>
      <w:bCs/>
      <w:iCs/>
      <w:caps/>
      <w:sz w:val="22"/>
      <w:szCs w:val="28"/>
      <w:lang w:val="es-ES" w:eastAsia="zh-CN"/>
    </w:rPr>
  </w:style>
  <w:style w:type="paragraph" w:customStyle="1" w:styleId="Endofdocument">
    <w:name w:val="End of document"/>
    <w:basedOn w:val="Normal"/>
    <w:rsid w:val="00C84007"/>
    <w:pPr>
      <w:spacing w:line="260" w:lineRule="atLeast"/>
      <w:ind w:left="5534"/>
    </w:pPr>
    <w:rPr>
      <w:rFonts w:eastAsia="Times New Roman" w:cs="Times New Roman"/>
      <w:sz w:val="20"/>
      <w:lang w:val="en-US" w:eastAsia="en-US"/>
    </w:rPr>
  </w:style>
  <w:style w:type="paragraph" w:styleId="ListParagraph">
    <w:name w:val="List Paragraph"/>
    <w:basedOn w:val="Normal"/>
    <w:uiPriority w:val="1"/>
    <w:qFormat/>
    <w:rsid w:val="00C84007"/>
    <w:pPr>
      <w:ind w:left="567"/>
    </w:pPr>
    <w:rPr>
      <w:lang w:val="en-US"/>
    </w:rPr>
  </w:style>
  <w:style w:type="character" w:styleId="Hyperlink">
    <w:name w:val="Hyperlink"/>
    <w:basedOn w:val="DefaultParagraphFont"/>
    <w:unhideWhenUsed/>
    <w:rsid w:val="00C84007"/>
    <w:rPr>
      <w:color w:val="0000FF" w:themeColor="hyperlink"/>
      <w:u w:val="single"/>
    </w:rPr>
  </w:style>
  <w:style w:type="character" w:styleId="FollowedHyperlink">
    <w:name w:val="FollowedHyperlink"/>
    <w:basedOn w:val="DefaultParagraphFont"/>
    <w:semiHidden/>
    <w:unhideWhenUsed/>
    <w:rsid w:val="005620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8DD6B-E370-458A-90D2-8A001D84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(S)</Template>
  <TotalTime>0</TotalTime>
  <Pages>3</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CWS/9/10</vt:lpstr>
    </vt:vector>
  </TitlesOfParts>
  <Company>WIPO</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CWS/9/10 REV.</dc:title>
  <dc:creator>WIPO</dc:creator>
  <cp:keywords>FOR OFFICIAL USE ONLY</cp:keywords>
  <cp:lastModifiedBy>CHAVAS Louison</cp:lastModifiedBy>
  <cp:revision>2</cp:revision>
  <dcterms:created xsi:type="dcterms:W3CDTF">2021-10-12T14:31:00Z</dcterms:created>
  <dcterms:modified xsi:type="dcterms:W3CDTF">2021-10-12T14:31:00Z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c6b9fb8d-7be1-454a-84fa-5fcf87092ced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