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845CE" w14:textId="77777777" w:rsidR="00C63A33" w:rsidRPr="00BE5769" w:rsidRDefault="007637EE" w:rsidP="00BE5769">
      <w:pPr>
        <w:pStyle w:val="Heading1"/>
        <w:keepNext w:val="0"/>
        <w:spacing w:after="240"/>
        <w:rPr>
          <w:caps w:val="0"/>
          <w:szCs w:val="22"/>
          <w:shd w:val="clear" w:color="auto" w:fill="FFFFFF"/>
          <w:lang w:val="es-ES_tradnl"/>
        </w:rPr>
      </w:pPr>
      <w:bookmarkStart w:id="0" w:name="_GoBack"/>
      <w:bookmarkEnd w:id="0"/>
      <w:r w:rsidRPr="00BE5769">
        <w:rPr>
          <w:caps w:val="0"/>
          <w:szCs w:val="22"/>
          <w:shd w:val="clear" w:color="auto" w:fill="FFFFFF"/>
          <w:lang w:val="es-ES_tradnl"/>
        </w:rPr>
        <w:t>LISTA DE TAREAS</w:t>
      </w:r>
    </w:p>
    <w:p w14:paraId="5D7735EE" w14:textId="77777777" w:rsidR="00C63A33" w:rsidRPr="00BE5769" w:rsidRDefault="007637EE" w:rsidP="00BE5769">
      <w:pPr>
        <w:numPr>
          <w:ilvl w:val="0"/>
          <w:numId w:val="2"/>
        </w:numPr>
        <w:spacing w:after="220" w:line="240" w:lineRule="auto"/>
        <w:ind w:left="851" w:hanging="567"/>
        <w:rPr>
          <w:rFonts w:ascii="Arial" w:eastAsia="SimSun" w:hAnsi="Arial" w:cs="Arial"/>
          <w:szCs w:val="20"/>
          <w:lang w:val="es-ES_tradnl" w:eastAsia="zh-CN"/>
        </w:rPr>
      </w:pPr>
      <w:r w:rsidRPr="00BE5769">
        <w:rPr>
          <w:rFonts w:ascii="Arial" w:eastAsia="SimSun" w:hAnsi="Arial" w:cs="Arial"/>
          <w:lang w:val="es-ES_tradnl" w:eastAsia="zh-CN"/>
        </w:rPr>
        <w:t>Tareas</w:t>
      </w:r>
      <w:r w:rsidRPr="00BE5769">
        <w:rPr>
          <w:rFonts w:ascii="Arial" w:eastAsia="SimSun" w:hAnsi="Arial" w:cs="Arial"/>
          <w:szCs w:val="20"/>
          <w:lang w:val="es-ES_tradnl" w:eastAsia="zh-CN"/>
        </w:rPr>
        <w:t xml:space="preserve"> suspendidas en la presente sesión:</w:t>
      </w:r>
    </w:p>
    <w:p w14:paraId="76F4E77C" w14:textId="5BA80C06" w:rsidR="00C63A33" w:rsidRDefault="00C567CF" w:rsidP="00BE5769">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23:</w:t>
      </w:r>
      <w:r w:rsidRPr="00BE5769">
        <w:rPr>
          <w:rFonts w:ascii="Arial" w:eastAsia="SimSun" w:hAnsi="Arial" w:cs="Arial"/>
          <w:szCs w:val="20"/>
          <w:lang w:val="es-ES_tradnl" w:eastAsia="zh-CN"/>
        </w:rPr>
        <w:tab/>
        <w:t>Supervisar la inclusión, en las bases de datos, de información sobre la entrada y, si procede, la no entrada en la fase nacional (regional) de solicitudes internacionales PCT publicadas.</w:t>
      </w:r>
    </w:p>
    <w:p w14:paraId="58E21C51" w14:textId="0933DE08" w:rsidR="00C567CF" w:rsidRPr="00BE5769" w:rsidRDefault="00C567CF" w:rsidP="00BE5769">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51:</w:t>
      </w:r>
      <w:r w:rsidRPr="00BE5769">
        <w:rPr>
          <w:rFonts w:ascii="Arial" w:eastAsia="SimSun" w:hAnsi="Arial" w:cs="Arial"/>
          <w:szCs w:val="20"/>
          <w:lang w:val="es-ES_tradnl" w:eastAsia="zh-CN"/>
        </w:rPr>
        <w:tab/>
        <w:t>Garantizar las revisiones y actualizaciones necesarias de la Norma ST.37 de la OMPI.</w:t>
      </w:r>
    </w:p>
    <w:p w14:paraId="31851FF7" w14:textId="77777777" w:rsidR="00C63A33" w:rsidRPr="00BE5769" w:rsidRDefault="007637EE" w:rsidP="00BE5769">
      <w:pPr>
        <w:numPr>
          <w:ilvl w:val="0"/>
          <w:numId w:val="2"/>
        </w:numPr>
        <w:spacing w:after="220" w:line="240" w:lineRule="auto"/>
        <w:ind w:left="851" w:hanging="567"/>
        <w:rPr>
          <w:rFonts w:ascii="Arial" w:eastAsia="SimSun" w:hAnsi="Arial" w:cs="Arial"/>
          <w:szCs w:val="20"/>
          <w:lang w:val="es-ES_tradnl" w:eastAsia="zh-CN"/>
        </w:rPr>
      </w:pPr>
      <w:r w:rsidRPr="00BE5769">
        <w:rPr>
          <w:rFonts w:ascii="Arial" w:eastAsia="SimSun" w:hAnsi="Arial" w:cs="Arial"/>
          <w:lang w:val="es-ES_tradnl" w:eastAsia="zh-CN"/>
        </w:rPr>
        <w:t>Tareas</w:t>
      </w:r>
      <w:r w:rsidRPr="00BE5769">
        <w:rPr>
          <w:rFonts w:ascii="Arial" w:eastAsia="SimSun" w:hAnsi="Arial" w:cs="Arial"/>
          <w:szCs w:val="20"/>
          <w:lang w:val="es-ES_tradnl" w:eastAsia="zh-CN"/>
        </w:rPr>
        <w:t xml:space="preserve"> revisadas en la presente sesión:</w:t>
      </w:r>
    </w:p>
    <w:p w14:paraId="4D354C74" w14:textId="435BAAFA" w:rsidR="00CF3827" w:rsidRDefault="007637EE"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 xml:space="preserve">Tarea N.º </w:t>
      </w:r>
      <w:r w:rsidR="00CF3827">
        <w:rPr>
          <w:rFonts w:ascii="Arial" w:eastAsia="SimSun" w:hAnsi="Arial" w:cs="Arial"/>
          <w:szCs w:val="20"/>
          <w:lang w:val="es-ES_tradnl" w:eastAsia="zh-CN"/>
        </w:rPr>
        <w:t>52</w:t>
      </w:r>
      <w:r w:rsidR="00CF3827">
        <w:rPr>
          <w:rFonts w:ascii="Arial" w:eastAsia="SimSun" w:hAnsi="Arial" w:cs="Arial"/>
          <w:szCs w:val="20"/>
          <w:lang w:val="es-ES_tradnl" w:eastAsia="zh-CN"/>
        </w:rPr>
        <w:tab/>
      </w:r>
      <w:r w:rsidR="00CF3827" w:rsidRPr="00CF3827">
        <w:rPr>
          <w:rFonts w:ascii="Arial" w:eastAsia="SimSun" w:hAnsi="Arial" w:cs="Arial"/>
          <w:szCs w:val="20"/>
          <w:lang w:val="es-ES_tradnl" w:eastAsia="zh-CN"/>
        </w:rPr>
        <w:t>Preparar recomendaciones relativas a los sistemas para facilitar el acceso a la información contenida en las patentes que publican las oficinas de propiedad industrial</w:t>
      </w:r>
      <w:r w:rsidR="00CF3827">
        <w:rPr>
          <w:rFonts w:ascii="Arial" w:eastAsia="SimSun" w:hAnsi="Arial" w:cs="Arial"/>
          <w:szCs w:val="20"/>
          <w:lang w:val="es-ES_tradnl" w:eastAsia="zh-CN"/>
        </w:rPr>
        <w:t>.</w:t>
      </w:r>
    </w:p>
    <w:p w14:paraId="72EE3327" w14:textId="1B83F02F" w:rsidR="00C63A33" w:rsidRPr="00BE5769" w:rsidRDefault="00CF3827"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 xml:space="preserve">Tarea N.º </w:t>
      </w:r>
      <w:r w:rsidR="007637EE" w:rsidRPr="00BE5769">
        <w:rPr>
          <w:rFonts w:ascii="Arial" w:eastAsia="SimSun" w:hAnsi="Arial" w:cs="Arial"/>
          <w:szCs w:val="20"/>
          <w:lang w:val="es-ES_tradnl" w:eastAsia="zh-CN"/>
        </w:rPr>
        <w:t>61:</w:t>
      </w:r>
      <w:r w:rsidR="007637EE" w:rsidRPr="00BE5769">
        <w:rPr>
          <w:rFonts w:ascii="Arial" w:eastAsia="SimSun" w:hAnsi="Arial" w:cs="Arial"/>
          <w:szCs w:val="20"/>
          <w:lang w:val="es-ES_tradnl" w:eastAsia="zh-CN"/>
        </w:rPr>
        <w:tab/>
      </w:r>
      <w:r w:rsidRPr="00CF3827">
        <w:rPr>
          <w:rFonts w:ascii="Arial" w:eastAsia="SimSun" w:hAnsi="Arial" w:cs="Arial"/>
          <w:szCs w:val="20"/>
          <w:lang w:val="es-ES_tradnl" w:eastAsia="zh-CN"/>
        </w:rPr>
        <w:t>Garantizar las necesarias revisiones y actualizaciones de la Norma ST.91</w:t>
      </w:r>
      <w:r w:rsidR="007637EE" w:rsidRPr="00BE5769">
        <w:rPr>
          <w:rFonts w:ascii="Arial" w:eastAsia="SimSun" w:hAnsi="Arial" w:cs="Arial"/>
          <w:szCs w:val="20"/>
          <w:lang w:val="es-ES_tradnl" w:eastAsia="zh-CN"/>
        </w:rPr>
        <w:t xml:space="preserve"> que incluyan métodos de búsqueda de modelos e imágenes en 3D.</w:t>
      </w:r>
    </w:p>
    <w:p w14:paraId="070D42A7" w14:textId="77777777" w:rsidR="00C63A33" w:rsidRPr="00BE5769" w:rsidRDefault="004933E8" w:rsidP="00BE5769">
      <w:pPr>
        <w:numPr>
          <w:ilvl w:val="0"/>
          <w:numId w:val="2"/>
        </w:numPr>
        <w:spacing w:after="220" w:line="240" w:lineRule="auto"/>
        <w:ind w:left="851" w:hanging="567"/>
        <w:rPr>
          <w:rFonts w:ascii="Arial" w:eastAsia="SimSun" w:hAnsi="Arial" w:cs="Arial"/>
          <w:szCs w:val="20"/>
          <w:lang w:val="es-ES_tradnl" w:eastAsia="zh-CN"/>
        </w:rPr>
      </w:pPr>
      <w:r w:rsidRPr="00BE5769">
        <w:rPr>
          <w:rFonts w:ascii="Arial" w:eastAsia="SimSun" w:hAnsi="Arial" w:cs="Arial"/>
          <w:lang w:val="es-ES_tradnl" w:eastAsia="zh-CN"/>
        </w:rPr>
        <w:t>Tareas</w:t>
      </w:r>
      <w:r w:rsidRPr="00BE5769">
        <w:rPr>
          <w:rFonts w:ascii="Arial" w:eastAsia="SimSun" w:hAnsi="Arial" w:cs="Arial"/>
          <w:szCs w:val="20"/>
          <w:lang w:val="es-ES_tradnl" w:eastAsia="zh-CN"/>
        </w:rPr>
        <w:t xml:space="preserve"> pendientes:</w:t>
      </w:r>
    </w:p>
    <w:p w14:paraId="6FB194AC" w14:textId="7E0FCBB6" w:rsidR="003C0A3A" w:rsidRDefault="003C0A3A"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24:</w:t>
      </w:r>
      <w:r w:rsidRPr="00BE5769">
        <w:rPr>
          <w:rFonts w:ascii="Arial" w:eastAsia="SimSun" w:hAnsi="Arial" w:cs="Arial"/>
          <w:szCs w:val="20"/>
          <w:lang w:val="es-ES_tradnl" w:eastAsia="zh-CN"/>
        </w:rPr>
        <w:tab/>
        <w:t>Compilar y publicar informes técnicos anuales sobre las actividades de los miembros del CWS (ATR/PI, ATR/TM, ATR/ID) relativas a información en materia de patentes, marcas y diseños industriales.</w:t>
      </w:r>
    </w:p>
    <w:p w14:paraId="234098B6" w14:textId="2D9607AF" w:rsidR="00C63A33" w:rsidRPr="00BE5769" w:rsidRDefault="004933E8"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44:</w:t>
      </w:r>
      <w:r w:rsidRPr="00BE5769">
        <w:rPr>
          <w:rFonts w:ascii="Arial" w:eastAsia="SimSun" w:hAnsi="Arial" w:cs="Arial"/>
          <w:szCs w:val="20"/>
          <w:lang w:val="es-ES_tradnl" w:eastAsia="zh-CN"/>
        </w:rPr>
        <w:tab/>
        <w:t>Prestar apoyo a la Oficina Internacional facilitando los requisitos de los usuarios y comentarios sobre la herramienta de autoría y validación de la Norma ST.26; prestar apoyo a la Oficina Internacional de la OMPI en la consiguiente revisión de las Instrucciones Administrativas del PCT; y preparar las revisiones necesarias de la Norma ST.26 de la OMPI.</w:t>
      </w:r>
    </w:p>
    <w:p w14:paraId="4004F290" w14:textId="77777777" w:rsidR="00C63A33" w:rsidRPr="00BE5769" w:rsidRDefault="004933E8"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55:</w:t>
      </w:r>
      <w:r w:rsidRPr="00BE5769">
        <w:rPr>
          <w:rFonts w:ascii="Arial" w:eastAsia="SimSun" w:hAnsi="Arial" w:cs="Arial"/>
          <w:szCs w:val="20"/>
          <w:lang w:val="es-ES_tradnl" w:eastAsia="zh-CN"/>
        </w:rPr>
        <w:tab/>
        <w:t>Contemplar la posibilidad de crear una norma técnica de la OMPI para ayudar a las Oficinas de Propiedad Industrial (OPI) a brindar una mejor “calidad en el origen” en relación con los nombres de los solicitantes, preparar una propuesta para la adopción de medidas destinadas a la normalización de los nombres de los solicitantes en documentos de PI y someterla al examen del CWS.</w:t>
      </w:r>
    </w:p>
    <w:p w14:paraId="0CCAB274" w14:textId="77777777" w:rsidR="00C63A33" w:rsidRPr="00BE5769" w:rsidRDefault="004933E8"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58:</w:t>
      </w:r>
      <w:r w:rsidRPr="00BE5769">
        <w:rPr>
          <w:rFonts w:ascii="Arial" w:eastAsia="SimSun" w:hAnsi="Arial" w:cs="Arial"/>
          <w:szCs w:val="20"/>
          <w:lang w:val="es-ES_tradnl" w:eastAsia="zh-CN"/>
        </w:rPr>
        <w:tab/>
        <w:t>Preparar una propuesta de hoja de ruta para el desarrollo y la mejora, en el futuro, de las normas técnicas de la OMPI, que incluya recomendaciones sobre políticas, con miras a que las oficinas de PI y otras partes interesadas logren producir, compartir y utilizar los datos con más eficacia, mediante la realización de las siguientes actividades:</w:t>
      </w:r>
    </w:p>
    <w:p w14:paraId="6BEDB47D" w14:textId="77777777" w:rsidR="00C63A33" w:rsidRPr="00BE5769" w:rsidRDefault="004933E8" w:rsidP="00BE5769">
      <w:pPr>
        <w:spacing w:after="120" w:line="240" w:lineRule="auto"/>
        <w:ind w:left="2880"/>
        <w:rPr>
          <w:rFonts w:ascii="Arial" w:eastAsia="SimSun" w:hAnsi="Arial" w:cs="Arial"/>
          <w:szCs w:val="20"/>
          <w:lang w:val="es-ES_tradnl" w:eastAsia="zh-CN"/>
        </w:rPr>
      </w:pPr>
      <w:r w:rsidRPr="00BE5769">
        <w:rPr>
          <w:rFonts w:ascii="Arial" w:eastAsia="SimSun" w:hAnsi="Arial" w:cs="Arial"/>
          <w:szCs w:val="20"/>
          <w:lang w:val="es-ES_tradnl" w:eastAsia="zh-CN"/>
        </w:rPr>
        <w:t>i.</w:t>
      </w:r>
      <w:r w:rsidRPr="00BE5769">
        <w:rPr>
          <w:rFonts w:ascii="Arial" w:eastAsia="SimSun" w:hAnsi="Arial" w:cs="Arial"/>
          <w:szCs w:val="20"/>
          <w:lang w:val="es-ES_tradnl" w:eastAsia="zh-CN"/>
        </w:rPr>
        <w:tab/>
        <w:t>examinar las recomendaciones que figuran en el Grupo 1, indicadas en el Anexo del documento CWS/6/3, en colaboración con los equipos técnicos pertinentes del CWS;</w:t>
      </w:r>
    </w:p>
    <w:p w14:paraId="31474F21" w14:textId="74F437B8" w:rsidR="00C63A33" w:rsidRPr="00BE5769" w:rsidRDefault="004933E8" w:rsidP="00BE5769">
      <w:pPr>
        <w:spacing w:after="120" w:line="240" w:lineRule="auto"/>
        <w:ind w:left="2880"/>
        <w:rPr>
          <w:rFonts w:ascii="Arial" w:eastAsia="SimSun" w:hAnsi="Arial" w:cs="Arial"/>
          <w:szCs w:val="20"/>
          <w:lang w:val="es-ES_tradnl" w:eastAsia="zh-CN"/>
        </w:rPr>
      </w:pPr>
      <w:r w:rsidRPr="00BE5769">
        <w:rPr>
          <w:rFonts w:ascii="Arial" w:eastAsia="SimSun" w:hAnsi="Arial" w:cs="Arial"/>
          <w:szCs w:val="20"/>
          <w:lang w:val="es-ES_tradnl" w:eastAsia="zh-CN"/>
        </w:rPr>
        <w:t>ii.</w:t>
      </w:r>
      <w:r w:rsidRPr="00BE5769">
        <w:rPr>
          <w:rFonts w:ascii="Arial" w:eastAsia="SimSun" w:hAnsi="Arial" w:cs="Arial"/>
          <w:szCs w:val="20"/>
          <w:lang w:val="es-ES_tradnl" w:eastAsia="zh-CN"/>
        </w:rPr>
        <w:tab/>
        <w:t>examinar las recomendac</w:t>
      </w:r>
      <w:r w:rsidR="00175754">
        <w:rPr>
          <w:rFonts w:ascii="Arial" w:eastAsia="SimSun" w:hAnsi="Arial" w:cs="Arial"/>
          <w:szCs w:val="20"/>
          <w:lang w:val="es-ES_tradnl" w:eastAsia="zh-CN"/>
        </w:rPr>
        <w:t>iones que figuran en los Grupos </w:t>
      </w:r>
      <w:r w:rsidRPr="00BE5769">
        <w:rPr>
          <w:rFonts w:ascii="Arial" w:eastAsia="SimSun" w:hAnsi="Arial" w:cs="Arial"/>
          <w:szCs w:val="20"/>
          <w:lang w:val="es-ES_tradnl" w:eastAsia="zh-CN"/>
        </w:rPr>
        <w:t>2 y 3, indicadas en el Anexo del documento CWS/6/3;</w:t>
      </w:r>
    </w:p>
    <w:p w14:paraId="5863A73C" w14:textId="77777777" w:rsidR="00C63A33" w:rsidRPr="00BE5769" w:rsidRDefault="004933E8" w:rsidP="00BE5769">
      <w:pPr>
        <w:spacing w:after="120" w:line="240" w:lineRule="auto"/>
        <w:ind w:left="2880"/>
        <w:rPr>
          <w:rFonts w:ascii="Arial" w:eastAsia="SimSun" w:hAnsi="Arial" w:cs="Arial"/>
          <w:szCs w:val="20"/>
          <w:lang w:val="es-ES_tradnl" w:eastAsia="zh-CN"/>
        </w:rPr>
      </w:pPr>
      <w:r w:rsidRPr="00BE5769">
        <w:rPr>
          <w:rFonts w:ascii="Arial" w:eastAsia="SimSun" w:hAnsi="Arial" w:cs="Arial"/>
          <w:szCs w:val="20"/>
          <w:lang w:val="es-ES_tradnl" w:eastAsia="zh-CN"/>
        </w:rPr>
        <w:t>iii.</w:t>
      </w:r>
      <w:r w:rsidRPr="00BE5769">
        <w:rPr>
          <w:rFonts w:ascii="Arial" w:eastAsia="SimSun" w:hAnsi="Arial" w:cs="Arial"/>
          <w:szCs w:val="20"/>
          <w:lang w:val="es-ES_tradnl" w:eastAsia="zh-CN"/>
        </w:rPr>
        <w:tab/>
        <w:t>establecer prioridades para las recomendaciones y sugerir un calendario; y</w:t>
      </w:r>
    </w:p>
    <w:p w14:paraId="436D4308" w14:textId="77777777" w:rsidR="00C63A33" w:rsidRPr="00BE5769" w:rsidRDefault="004933E8" w:rsidP="00BE5769">
      <w:pPr>
        <w:spacing w:after="120" w:line="240" w:lineRule="auto"/>
        <w:ind w:left="2880"/>
        <w:rPr>
          <w:rFonts w:ascii="Arial" w:eastAsia="SimSun" w:hAnsi="Arial" w:cs="Arial"/>
          <w:szCs w:val="20"/>
          <w:lang w:val="es-ES_tradnl" w:eastAsia="zh-CN"/>
        </w:rPr>
      </w:pPr>
      <w:r w:rsidRPr="00BE5769">
        <w:rPr>
          <w:rFonts w:ascii="Arial" w:eastAsia="SimSun" w:hAnsi="Arial" w:cs="Arial"/>
          <w:szCs w:val="20"/>
          <w:lang w:val="es-ES_tradnl" w:eastAsia="zh-CN"/>
        </w:rPr>
        <w:lastRenderedPageBreak/>
        <w:t>iv.</w:t>
      </w:r>
      <w:r w:rsidRPr="00BE5769">
        <w:rPr>
          <w:rFonts w:ascii="Arial" w:eastAsia="SimSun" w:hAnsi="Arial" w:cs="Arial"/>
          <w:szCs w:val="20"/>
          <w:lang w:val="es-ES_tradnl" w:eastAsia="zh-CN"/>
        </w:rPr>
        <w:tab/>
        <w:t>estudiar la incidencia de las tecnologías disruptivas en la administración de la PI y los datos de PI, con miras a la armonización y la colaboración.</w:t>
      </w:r>
      <w:r w:rsidR="002701DD" w:rsidRPr="00BE5769">
        <w:rPr>
          <w:rFonts w:ascii="Arial" w:eastAsia="SimSun" w:hAnsi="Arial" w:cs="Arial"/>
          <w:szCs w:val="20"/>
          <w:lang w:val="es-ES_tradnl" w:eastAsia="zh-CN"/>
        </w:rPr>
        <w:t xml:space="preserve">  </w:t>
      </w:r>
      <w:r w:rsidRPr="00BE5769">
        <w:rPr>
          <w:rFonts w:ascii="Arial" w:eastAsia="SimSun" w:hAnsi="Arial" w:cs="Arial"/>
          <w:szCs w:val="20"/>
          <w:lang w:val="es-ES_tradnl" w:eastAsia="zh-CN"/>
        </w:rPr>
        <w:t>Recabar información de las oficinas de PI y los clientes acerca de los requisitos aplicables; y preparar recomendaciones relativas a las representaciones visuales de dibujos y modelos industriales presentadas en formato electrónico.</w:t>
      </w:r>
    </w:p>
    <w:p w14:paraId="1C582A0F" w14:textId="77777777" w:rsidR="00C63A33" w:rsidRPr="00BE5769" w:rsidRDefault="004933E8"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59:</w:t>
      </w:r>
      <w:r w:rsidRPr="00BE5769">
        <w:rPr>
          <w:rFonts w:ascii="Arial" w:eastAsia="SimSun" w:hAnsi="Arial" w:cs="Arial"/>
          <w:szCs w:val="20"/>
          <w:lang w:val="es-ES_tradnl" w:eastAsia="zh-CN"/>
        </w:rPr>
        <w:tab/>
        <w:t>Considerar la posibilidad de utilizar la tecnología de cadenas de bloques en los procesos relativos a la concesión de protección para los derechos de PI y al tratamiento de la información sobre los objetos de PI y su utilización;</w:t>
      </w:r>
    </w:p>
    <w:p w14:paraId="5518C187" w14:textId="77777777" w:rsidR="00C63A33" w:rsidRPr="00BE5769" w:rsidRDefault="004933E8" w:rsidP="00BE5769">
      <w:pPr>
        <w:spacing w:after="120" w:line="240" w:lineRule="auto"/>
        <w:ind w:left="2880"/>
        <w:rPr>
          <w:rFonts w:ascii="Arial" w:eastAsia="SimSun" w:hAnsi="Arial" w:cs="Arial"/>
          <w:szCs w:val="20"/>
          <w:lang w:val="es-ES_tradnl" w:eastAsia="zh-CN"/>
        </w:rPr>
      </w:pPr>
      <w:r w:rsidRPr="00BE5769">
        <w:rPr>
          <w:rFonts w:ascii="Arial" w:eastAsia="SimSun" w:hAnsi="Arial" w:cs="Arial"/>
          <w:szCs w:val="20"/>
          <w:lang w:val="es-ES_tradnl" w:eastAsia="zh-CN"/>
        </w:rPr>
        <w:t>Recopilar información sobre los avances de las Oficinas de PI en la utilización de la cadena de bloques y la experiencia obtenida en este ámbito, evaluar las normas técnicas relativas a la cadena de bloques vigentes en el sector y considerar su validez y aplicabilidad en las Oficinas de PI;</w:t>
      </w:r>
    </w:p>
    <w:p w14:paraId="779B5FCD" w14:textId="77777777" w:rsidR="00C63A33" w:rsidRPr="00BE5769" w:rsidRDefault="004933E8" w:rsidP="00BE5769">
      <w:pPr>
        <w:spacing w:after="120" w:line="240" w:lineRule="auto"/>
        <w:ind w:left="2880"/>
        <w:rPr>
          <w:rFonts w:ascii="Arial" w:eastAsia="SimSun" w:hAnsi="Arial" w:cs="Arial"/>
          <w:szCs w:val="20"/>
          <w:lang w:val="es-ES_tradnl" w:eastAsia="zh-CN"/>
        </w:rPr>
      </w:pPr>
      <w:r w:rsidRPr="00BE5769">
        <w:rPr>
          <w:rFonts w:ascii="Arial" w:eastAsia="SimSun" w:hAnsi="Arial" w:cs="Arial"/>
          <w:szCs w:val="20"/>
          <w:lang w:val="es-ES_tradnl" w:eastAsia="zh-CN"/>
        </w:rPr>
        <w:t>Elaborar modelos de referencia de uso de la tecnología de la cadena de bloques en el ámbito de la PI que den cabida a los principios rectores, las prácticas comunes y el uso de la terminología como marco de fomento de la colaboración, los proyectos conjuntos y las pruebas de concepto; y</w:t>
      </w:r>
    </w:p>
    <w:p w14:paraId="760BF281" w14:textId="77777777" w:rsidR="00C63A33" w:rsidRPr="00BE5769" w:rsidRDefault="004933E8" w:rsidP="00BE5769">
      <w:pPr>
        <w:spacing w:after="120" w:line="240" w:lineRule="auto"/>
        <w:ind w:left="2880"/>
        <w:rPr>
          <w:rFonts w:ascii="Arial" w:eastAsia="SimSun" w:hAnsi="Arial" w:cs="Arial"/>
          <w:szCs w:val="20"/>
          <w:lang w:val="es-ES_tradnl" w:eastAsia="zh-CN"/>
        </w:rPr>
      </w:pPr>
      <w:r w:rsidRPr="00BE5769">
        <w:rPr>
          <w:rFonts w:ascii="Arial" w:eastAsia="SimSun" w:hAnsi="Arial" w:cs="Arial"/>
          <w:szCs w:val="20"/>
          <w:lang w:val="es-ES_tradnl" w:eastAsia="zh-CN"/>
        </w:rPr>
        <w:t>Preparar una propuesta de nueva norma técnica de la OMPI que apoye la posible aplicación de la tecnología de la cadena de bloques en el ecosistema de la PI.</w:t>
      </w:r>
    </w:p>
    <w:p w14:paraId="434E201C" w14:textId="0A2F323C" w:rsidR="00C63A33" w:rsidRPr="00BE5769" w:rsidRDefault="00E87E42"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60:</w:t>
      </w:r>
      <w:r w:rsidR="002701DD" w:rsidRPr="00BE5769">
        <w:rPr>
          <w:rFonts w:ascii="Arial" w:eastAsia="SimSun" w:hAnsi="Arial" w:cs="Arial"/>
          <w:szCs w:val="20"/>
          <w:lang w:val="es-ES_tradnl" w:eastAsia="zh-CN"/>
        </w:rPr>
        <w:tab/>
      </w:r>
      <w:r w:rsidR="00C63A33" w:rsidRPr="00BE5769">
        <w:rPr>
          <w:rFonts w:ascii="Arial" w:eastAsia="SimSun" w:hAnsi="Arial" w:cs="Arial"/>
          <w:szCs w:val="20"/>
          <w:lang w:val="es-ES_tradnl" w:eastAsia="zh-CN"/>
        </w:rPr>
        <w:t>Preparar una propuesta para la numeración de los códigos INID en la Norma ST.60 de la OMPI en relación con las marcas denominativas y marcas figurativas; sobre la división del código INID (551) y la posible creación de un código INID para marcas combinadas.</w:t>
      </w:r>
    </w:p>
    <w:p w14:paraId="149887EB" w14:textId="3C1328F9" w:rsidR="00C63A33" w:rsidRPr="00BE5769" w:rsidRDefault="00E87E42" w:rsidP="00BE5769">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63:</w:t>
      </w:r>
      <w:r w:rsidR="00C63A33" w:rsidRPr="00BE5769">
        <w:rPr>
          <w:rFonts w:ascii="Arial" w:eastAsia="SimSun" w:hAnsi="Arial" w:cs="Arial"/>
          <w:szCs w:val="20"/>
          <w:lang w:val="es-ES_tradnl" w:eastAsia="zh-CN"/>
        </w:rPr>
        <w:tab/>
        <w:t>Desarrollar representaciones visuales de los datos XML, sobre la base de las normas XML de la OMPI, para su publicación electrónica.</w:t>
      </w:r>
    </w:p>
    <w:p w14:paraId="38ACD1B9" w14:textId="590D0EE4" w:rsidR="00C63A33" w:rsidRPr="00BE5769" w:rsidRDefault="00E87E42" w:rsidP="00BE5769">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383170" w:rsidRPr="00BE5769">
        <w:rPr>
          <w:rFonts w:ascii="Arial" w:eastAsia="SimSun" w:hAnsi="Arial" w:cs="Arial"/>
          <w:szCs w:val="20"/>
          <w:lang w:val="es-ES_tradnl" w:eastAsia="zh-CN"/>
        </w:rPr>
        <w:t xml:space="preserve"> 64: </w:t>
      </w:r>
      <w:r w:rsidR="00C63A33" w:rsidRPr="00BE5769">
        <w:rPr>
          <w:rFonts w:ascii="Arial" w:eastAsia="SimSun" w:hAnsi="Arial" w:cs="Arial"/>
          <w:szCs w:val="20"/>
          <w:lang w:val="es-ES_tradnl" w:eastAsia="zh-CN"/>
        </w:rPr>
        <w:tab/>
        <w:t xml:space="preserve">Preparar una propuesta de recomendaciones de recursos de formato </w:t>
      </w:r>
      <w:r w:rsidR="00C63A33" w:rsidRPr="00BE5769">
        <w:rPr>
          <w:rFonts w:ascii="Arial" w:eastAsia="SimSun" w:hAnsi="Arial" w:cs="Arial"/>
          <w:i/>
          <w:szCs w:val="20"/>
          <w:lang w:val="es-ES_tradnl" w:eastAsia="zh-CN"/>
        </w:rPr>
        <w:t>JavaScript Object Notation</w:t>
      </w:r>
      <w:r w:rsidR="00C63A33" w:rsidRPr="00BE5769">
        <w:rPr>
          <w:rFonts w:ascii="Arial" w:eastAsia="SimSun" w:hAnsi="Arial" w:cs="Arial"/>
          <w:szCs w:val="20"/>
          <w:lang w:val="es-ES_tradnl" w:eastAsia="zh-CN"/>
        </w:rPr>
        <w:t xml:space="preserve"> (JSON) compatibles con la Norma SST.96 de la OMPI a fin de que sean utilizados para la presentación, tratamiento, publicación y/o intercambio de información sobre propiedad intelectual.</w:t>
      </w:r>
    </w:p>
    <w:p w14:paraId="05168CF7" w14:textId="0BC2C490" w:rsidR="00C63A33" w:rsidRPr="00BE5769" w:rsidRDefault="00C63A33" w:rsidP="00BE5769">
      <w:pPr>
        <w:numPr>
          <w:ilvl w:val="0"/>
          <w:numId w:val="2"/>
        </w:numPr>
        <w:spacing w:after="220" w:line="240" w:lineRule="auto"/>
        <w:ind w:left="851" w:hanging="567"/>
        <w:rPr>
          <w:rFonts w:ascii="Arial" w:eastAsia="SimSun" w:hAnsi="Arial" w:cs="Arial"/>
          <w:lang w:val="es-ES_tradnl" w:eastAsia="zh-CN"/>
        </w:rPr>
      </w:pPr>
      <w:r w:rsidRPr="00BE5769">
        <w:rPr>
          <w:rFonts w:ascii="Arial" w:eastAsia="SimSun" w:hAnsi="Arial" w:cs="Arial"/>
          <w:lang w:val="es-ES_tradnl" w:eastAsia="zh-CN"/>
        </w:rPr>
        <w:t>Tareas para garantizar el mantenimiento continuo de las normas técnicas de la OMPI:</w:t>
      </w:r>
    </w:p>
    <w:p w14:paraId="287BCFD7" w14:textId="55323F1C" w:rsidR="00C63A33" w:rsidRPr="00BE5769" w:rsidRDefault="00E87E42" w:rsidP="00BE5769">
      <w:pPr>
        <w:tabs>
          <w:tab w:val="left" w:pos="851"/>
        </w:tabs>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38:</w:t>
      </w:r>
      <w:r w:rsidR="00C63A33" w:rsidRPr="00BE5769">
        <w:rPr>
          <w:rFonts w:ascii="Arial" w:eastAsia="SimSun" w:hAnsi="Arial" w:cs="Arial"/>
          <w:szCs w:val="20"/>
          <w:lang w:val="es-ES_tradnl" w:eastAsia="zh-CN"/>
        </w:rPr>
        <w:tab/>
        <w:t>Garantizar la revisión y actualización continuada de la Norma ST.36 de la OMPI.</w:t>
      </w:r>
    </w:p>
    <w:p w14:paraId="5334BED6" w14:textId="11B964B9" w:rsidR="00C63A33" w:rsidRPr="00BE5769" w:rsidRDefault="00E87E42"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39:</w:t>
      </w:r>
      <w:r w:rsidR="00C63A33" w:rsidRPr="00BE5769">
        <w:rPr>
          <w:rFonts w:ascii="Arial" w:eastAsia="SimSun" w:hAnsi="Arial" w:cs="Arial"/>
          <w:szCs w:val="20"/>
          <w:lang w:val="es-ES_tradnl" w:eastAsia="zh-CN"/>
        </w:rPr>
        <w:tab/>
        <w:t>Garantizar las necesarias revisiones y actualizaciones de la Norma ST.66 de la OMPI.</w:t>
      </w:r>
    </w:p>
    <w:p w14:paraId="7461C9BD" w14:textId="34DA5579" w:rsidR="00C63A33" w:rsidRPr="00BE5769" w:rsidRDefault="00E87E42"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41:</w:t>
      </w:r>
      <w:r w:rsidR="00C63A33" w:rsidRPr="00BE5769">
        <w:rPr>
          <w:rFonts w:ascii="Arial" w:eastAsia="SimSun" w:hAnsi="Arial" w:cs="Arial"/>
          <w:szCs w:val="20"/>
          <w:lang w:val="es-ES_tradnl" w:eastAsia="zh-CN"/>
        </w:rPr>
        <w:tab/>
        <w:t>Garantizar las necesarias revisiones y actualizaciones de la Norma ST.96 de la OMPI.</w:t>
      </w:r>
    </w:p>
    <w:p w14:paraId="438A65FD" w14:textId="5B4ED06D" w:rsidR="00C63A33" w:rsidRDefault="00E87E42"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42:</w:t>
      </w:r>
      <w:r w:rsidR="00C63A33" w:rsidRPr="00BE5769">
        <w:rPr>
          <w:rFonts w:ascii="Arial" w:eastAsia="SimSun" w:hAnsi="Arial" w:cs="Arial"/>
          <w:szCs w:val="20"/>
          <w:lang w:val="es-ES_tradnl" w:eastAsia="zh-CN"/>
        </w:rPr>
        <w:tab/>
        <w:t>Garantizar las necesarias revisiones y actualizaciones de la Norma ST.86 de la OMPI.</w:t>
      </w:r>
    </w:p>
    <w:p w14:paraId="799EC25B" w14:textId="4D544C4C" w:rsidR="00C567CF" w:rsidRDefault="00C567CF" w:rsidP="00BE5769">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47:</w:t>
      </w:r>
      <w:r w:rsidRPr="00BE5769">
        <w:rPr>
          <w:rFonts w:ascii="Arial" w:eastAsia="SimSun" w:hAnsi="Arial" w:cs="Arial"/>
          <w:szCs w:val="20"/>
          <w:lang w:val="es-ES_tradnl" w:eastAsia="zh-CN"/>
        </w:rPr>
        <w:tab/>
        <w:t>Garantizar las necesarias revisiones y actualizaciones de las Normas ST.27, ST.87, y ST.61 de la OMPI; preparar material de apoyo que complemente el uso de esas Normas en la comunidad de la PI; analizar la posibilidad de fusionar las tres normas ST.27, ST.87 y ST.61; y prestar apoyo al Equipo Técnico XML4IP para que desarrolle componentes XML para los datos sobre las incidencias relativas a la situación jurídica.</w:t>
      </w:r>
    </w:p>
    <w:p w14:paraId="1EEEBE99" w14:textId="77777777" w:rsidR="00C567CF" w:rsidRPr="00BE5769" w:rsidRDefault="00C567CF" w:rsidP="00C567CF">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56:</w:t>
      </w:r>
      <w:r w:rsidRPr="00BE5769">
        <w:rPr>
          <w:rFonts w:ascii="Arial" w:eastAsia="SimSun" w:hAnsi="Arial" w:cs="Arial"/>
          <w:szCs w:val="20"/>
          <w:lang w:val="es-ES_tradnl" w:eastAsia="zh-CN"/>
        </w:rPr>
        <w:tab/>
        <w:t>Garantizar las necesarias revisiones y actualizaciones de la Norma ST.90 de la OMPI; prestar apoyo a la Oficina Internacional en la elaboración de un catálogo unificado de las API ofrecidas por las Oficinas; y ayudar a la Oficina Internacional a promover y aplicar la Norma ST.90 de la OMPI.</w:t>
      </w:r>
    </w:p>
    <w:p w14:paraId="35FFD494" w14:textId="327AA780" w:rsidR="00C567CF" w:rsidRDefault="00C567CF" w:rsidP="00C567CF">
      <w:pPr>
        <w:spacing w:after="1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57:</w:t>
      </w:r>
      <w:r w:rsidRPr="00BE5769">
        <w:rPr>
          <w:rFonts w:ascii="Arial" w:eastAsia="SimSun" w:hAnsi="Arial" w:cs="Arial"/>
          <w:szCs w:val="20"/>
          <w:lang w:val="es-ES_tradnl" w:eastAsia="zh-CN"/>
        </w:rPr>
        <w:tab/>
        <w:t>Garantizar las necesarias revisiones y actualizaciones de la Norma ST.88 de la OMPI.</w:t>
      </w:r>
    </w:p>
    <w:p w14:paraId="41C8C8FE" w14:textId="77777777" w:rsidR="00CF3827" w:rsidRPr="00BE5769" w:rsidRDefault="00CF3827" w:rsidP="00CF3827">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 62:</w:t>
      </w:r>
      <w:r w:rsidRPr="00BE5769">
        <w:rPr>
          <w:rFonts w:ascii="Arial" w:eastAsia="SimSun" w:hAnsi="Arial" w:cs="Arial"/>
          <w:szCs w:val="20"/>
          <w:lang w:val="es-ES_tradnl" w:eastAsia="zh-CN"/>
        </w:rPr>
        <w:tab/>
        <w:t>Examinar las normas técnicas de la OMPI ST.6, ST.8, ST.10, ST.11, ST.15, ST.17, ST.18, ST.63 y ST.81, y la Parte 6 del Manual de la OMPI, teniendo presente que los documentos de PI se publican por vía electrónica; y si es necesario, proponer modificaciones de dichas normas y materiales.</w:t>
      </w:r>
    </w:p>
    <w:p w14:paraId="1882D0FF" w14:textId="355AC659" w:rsidR="00C63A33" w:rsidRPr="00BE5769" w:rsidRDefault="00C63A33" w:rsidP="00BE5769">
      <w:pPr>
        <w:numPr>
          <w:ilvl w:val="0"/>
          <w:numId w:val="2"/>
        </w:numPr>
        <w:spacing w:after="220" w:line="240" w:lineRule="auto"/>
        <w:ind w:left="851" w:hanging="567"/>
        <w:rPr>
          <w:rFonts w:ascii="Arial" w:eastAsia="SimSun" w:hAnsi="Arial" w:cs="Arial"/>
          <w:lang w:val="es-ES_tradnl" w:eastAsia="zh-CN"/>
        </w:rPr>
      </w:pPr>
      <w:r w:rsidRPr="00BE5769">
        <w:rPr>
          <w:rFonts w:ascii="Arial" w:eastAsia="SimSun" w:hAnsi="Arial" w:cs="Arial"/>
          <w:lang w:val="es-ES_tradnl" w:eastAsia="zh-CN"/>
        </w:rPr>
        <w:t>Tareas de actividad constante o de carácter informativo:</w:t>
      </w:r>
    </w:p>
    <w:p w14:paraId="66B602A9" w14:textId="553A1CC0" w:rsidR="00C63A33" w:rsidRPr="00BE5769" w:rsidRDefault="00E87E42" w:rsidP="000B0786">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18:</w:t>
      </w:r>
      <w:r w:rsidR="00C63A33" w:rsidRPr="00BE5769">
        <w:rPr>
          <w:rFonts w:ascii="Arial" w:eastAsia="SimSun" w:hAnsi="Arial" w:cs="Arial"/>
          <w:szCs w:val="20"/>
          <w:lang w:val="es-ES_tradnl" w:eastAsia="zh-CN"/>
        </w:rPr>
        <w:tab/>
        <w:t>Establecer las esferas de normalización pertinentes para el intercambio de datos legibles por máquina sobre la base de proyectos previstos por órganos como las Oficinas de la Cooperación Pentalateral, el grupo de las Cinco Oficinas de Marcas (TM5), el Foro Industrial Design 5 (ID5), la ISO, la CEI y otros órganos conocidos dedicados al establecimiento de normas en esta rama de actividad.</w:t>
      </w:r>
    </w:p>
    <w:p w14:paraId="0A6B3D00" w14:textId="56441CBB" w:rsidR="00C63A33" w:rsidRPr="00BE5769" w:rsidRDefault="00E87E42" w:rsidP="00BE5769">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33:</w:t>
      </w:r>
      <w:r w:rsidR="00C63A33" w:rsidRPr="00BE5769">
        <w:rPr>
          <w:rFonts w:ascii="Arial" w:eastAsia="SimSun" w:hAnsi="Arial" w:cs="Arial"/>
          <w:szCs w:val="20"/>
          <w:lang w:val="es-ES_tradnl" w:eastAsia="zh-CN"/>
        </w:rPr>
        <w:tab/>
        <w:t xml:space="preserve">Revisión continua de </w:t>
      </w:r>
      <w:r w:rsidR="00F84386" w:rsidRPr="00BE5769">
        <w:rPr>
          <w:rFonts w:ascii="Arial" w:eastAsia="SimSun" w:hAnsi="Arial" w:cs="Arial"/>
          <w:szCs w:val="20"/>
          <w:lang w:val="es-ES_tradnl" w:eastAsia="zh-CN"/>
        </w:rPr>
        <w:t xml:space="preserve">las </w:t>
      </w:r>
      <w:r w:rsidR="00C63A33" w:rsidRPr="00BE5769">
        <w:rPr>
          <w:rFonts w:ascii="Arial" w:eastAsia="SimSun" w:hAnsi="Arial" w:cs="Arial"/>
          <w:szCs w:val="20"/>
          <w:lang w:val="es-ES_tradnl" w:eastAsia="zh-CN"/>
        </w:rPr>
        <w:t>normas técnicas de la OMPI.</w:t>
      </w:r>
    </w:p>
    <w:p w14:paraId="3AAB6157" w14:textId="19CBA3FD" w:rsidR="00C63A33" w:rsidRPr="00BE5769" w:rsidRDefault="00E87E42" w:rsidP="00BE5769">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33/3:</w:t>
      </w:r>
      <w:r w:rsidR="00C63A33" w:rsidRPr="00BE5769">
        <w:rPr>
          <w:rFonts w:ascii="Arial" w:eastAsia="SimSun" w:hAnsi="Arial" w:cs="Arial"/>
          <w:szCs w:val="20"/>
          <w:lang w:val="es-ES_tradnl" w:eastAsia="zh-CN"/>
        </w:rPr>
        <w:tab/>
        <w:t xml:space="preserve">Revisión </w:t>
      </w:r>
      <w:r w:rsidR="00F84386" w:rsidRPr="00BE5769">
        <w:rPr>
          <w:rFonts w:ascii="Arial" w:eastAsia="SimSun" w:hAnsi="Arial" w:cs="Arial"/>
          <w:szCs w:val="20"/>
          <w:lang w:val="es-ES_tradnl" w:eastAsia="zh-CN"/>
        </w:rPr>
        <w:t>continua</w:t>
      </w:r>
      <w:r w:rsidR="00C63A33" w:rsidRPr="00BE5769">
        <w:rPr>
          <w:rFonts w:ascii="Arial" w:eastAsia="SimSun" w:hAnsi="Arial" w:cs="Arial"/>
          <w:szCs w:val="20"/>
          <w:lang w:val="es-ES_tradnl" w:eastAsia="zh-CN"/>
        </w:rPr>
        <w:t xml:space="preserve"> de la Norma ST.3 de la OMPI.</w:t>
      </w:r>
    </w:p>
    <w:p w14:paraId="0DFE516D" w14:textId="452FD730" w:rsidR="00C63A33" w:rsidRPr="00BE5769" w:rsidRDefault="00E87E42" w:rsidP="00BE5769">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50:</w:t>
      </w:r>
      <w:r w:rsidR="00C63A33" w:rsidRPr="00BE5769">
        <w:rPr>
          <w:rFonts w:ascii="Arial" w:eastAsia="SimSun" w:hAnsi="Arial" w:cs="Arial"/>
          <w:szCs w:val="20"/>
          <w:lang w:val="es-ES_tradnl" w:eastAsia="zh-CN"/>
        </w:rPr>
        <w:tab/>
        <w:t xml:space="preserve">Velar por el mantenimiento y la actualización necesarios de los estudios publicados en la Parte 7 del </w:t>
      </w:r>
      <w:r w:rsidR="00C63A33" w:rsidRPr="00BE5769">
        <w:rPr>
          <w:rFonts w:ascii="Arial" w:eastAsia="SimSun" w:hAnsi="Arial" w:cs="Arial"/>
          <w:i/>
          <w:szCs w:val="20"/>
          <w:lang w:val="es-ES_tradnl" w:eastAsia="zh-CN"/>
        </w:rPr>
        <w:t>Manual de la OMPI de Información y Documentación en materia de Propiedad Industrial</w:t>
      </w:r>
      <w:r w:rsidR="00C63A33" w:rsidRPr="00BE5769">
        <w:rPr>
          <w:rFonts w:ascii="Arial" w:eastAsia="SimSun" w:hAnsi="Arial" w:cs="Arial"/>
          <w:szCs w:val="20"/>
          <w:lang w:val="es-ES_tradnl" w:eastAsia="zh-CN"/>
        </w:rPr>
        <w:t>.</w:t>
      </w:r>
    </w:p>
    <w:p w14:paraId="6FE87A08" w14:textId="5684C8F1" w:rsidR="00C63A33" w:rsidRPr="00BE5769" w:rsidRDefault="00C63A33" w:rsidP="00BE5769">
      <w:pPr>
        <w:numPr>
          <w:ilvl w:val="0"/>
          <w:numId w:val="2"/>
        </w:numPr>
        <w:spacing w:after="220" w:line="240" w:lineRule="auto"/>
        <w:ind w:left="851" w:hanging="567"/>
        <w:rPr>
          <w:rFonts w:ascii="Arial" w:eastAsia="SimSun" w:hAnsi="Arial" w:cs="Arial"/>
          <w:lang w:val="es-ES_tradnl" w:eastAsia="zh-CN"/>
        </w:rPr>
      </w:pPr>
      <w:r w:rsidRPr="00BE5769">
        <w:rPr>
          <w:rFonts w:ascii="Arial" w:eastAsia="SimSun" w:hAnsi="Arial" w:cs="Arial"/>
          <w:lang w:val="es-ES_tradnl" w:eastAsia="zh-CN"/>
        </w:rPr>
        <w:t>Tareas creadas en la presente sesión y cuya labor no ha comenzado:</w:t>
      </w:r>
    </w:p>
    <w:p w14:paraId="0D79F68C" w14:textId="6F973C86" w:rsidR="00C63A33" w:rsidRPr="00BE5769" w:rsidRDefault="00C63A33" w:rsidP="000B0786">
      <w:pPr>
        <w:spacing w:after="220" w:line="240" w:lineRule="auto"/>
        <w:ind w:left="2880" w:hanging="2029"/>
        <w:rPr>
          <w:rFonts w:ascii="Arial" w:eastAsia="SimSun" w:hAnsi="Arial" w:cs="Arial"/>
          <w:szCs w:val="20"/>
          <w:lang w:val="es-ES_tradnl" w:eastAsia="zh-CN"/>
        </w:rPr>
      </w:pPr>
      <w:r w:rsidRPr="00BE5769">
        <w:rPr>
          <w:rFonts w:ascii="Arial" w:eastAsia="SimSun" w:hAnsi="Arial" w:cs="Arial"/>
          <w:szCs w:val="20"/>
          <w:lang w:val="es-ES_tradnl" w:eastAsia="zh-CN"/>
        </w:rPr>
        <w:t>No se han creado tareas en la presente sesión.</w:t>
      </w:r>
    </w:p>
    <w:p w14:paraId="201CAA52" w14:textId="296BE312" w:rsidR="00C63A33" w:rsidRPr="00BE5769" w:rsidRDefault="00C63A33" w:rsidP="00BE5769">
      <w:pPr>
        <w:numPr>
          <w:ilvl w:val="0"/>
          <w:numId w:val="2"/>
        </w:numPr>
        <w:spacing w:after="220" w:line="240" w:lineRule="auto"/>
        <w:ind w:left="851" w:hanging="567"/>
        <w:rPr>
          <w:rFonts w:ascii="Arial" w:eastAsia="SimSun" w:hAnsi="Arial" w:cs="Arial"/>
          <w:lang w:val="es-ES_tradnl" w:eastAsia="zh-CN"/>
        </w:rPr>
      </w:pPr>
      <w:r w:rsidRPr="00BE5769">
        <w:rPr>
          <w:rFonts w:ascii="Arial" w:eastAsia="SimSun" w:hAnsi="Arial" w:cs="Arial"/>
          <w:lang w:val="es-ES_tradnl" w:eastAsia="zh-CN"/>
        </w:rPr>
        <w:t>Tareas cuyas actividades se han dejado en suspenso:</w:t>
      </w:r>
    </w:p>
    <w:p w14:paraId="2F2DDCDA" w14:textId="46E08BCF" w:rsidR="00C63A33" w:rsidRPr="00BE5769" w:rsidRDefault="00E87E42" w:rsidP="000B0786">
      <w:pPr>
        <w:spacing w:after="600" w:line="240" w:lineRule="auto"/>
        <w:ind w:left="2881" w:hanging="2030"/>
        <w:rPr>
          <w:rFonts w:ascii="Arial" w:eastAsia="SimSun" w:hAnsi="Arial" w:cs="Arial"/>
          <w:szCs w:val="20"/>
          <w:lang w:val="es-ES_tradnl" w:eastAsia="zh-CN"/>
        </w:rPr>
      </w:pPr>
      <w:r w:rsidRPr="00BE5769">
        <w:rPr>
          <w:rFonts w:ascii="Arial" w:eastAsia="SimSun" w:hAnsi="Arial" w:cs="Arial"/>
          <w:szCs w:val="20"/>
          <w:lang w:val="es-ES_tradnl" w:eastAsia="zh-CN"/>
        </w:rPr>
        <w:t>Tarea N.º</w:t>
      </w:r>
      <w:r w:rsidR="002701DD" w:rsidRPr="00BE5769">
        <w:rPr>
          <w:rFonts w:ascii="Arial" w:eastAsia="SimSun" w:hAnsi="Arial" w:cs="Arial"/>
          <w:szCs w:val="20"/>
          <w:lang w:val="es-ES_tradnl" w:eastAsia="zh-CN"/>
        </w:rPr>
        <w:t xml:space="preserve"> 43:</w:t>
      </w:r>
      <w:r w:rsidR="00C63A33" w:rsidRPr="00BE5769">
        <w:rPr>
          <w:rFonts w:ascii="Arial" w:eastAsia="SimSun" w:hAnsi="Arial" w:cs="Arial"/>
          <w:szCs w:val="20"/>
          <w:lang w:val="es-ES_tradnl" w:eastAsia="zh-CN"/>
        </w:rPr>
        <w:tab/>
        <w:t>Elaborar directrices relativas a la numeración de los párrafos, la longitud de los párrafos y el modo de uniformar la presentación de los documentos de patente para su aplicación por parte de las oficinas de propiedad industrial.</w:t>
      </w:r>
    </w:p>
    <w:p w14:paraId="623FE786" w14:textId="641C858F" w:rsidR="00067276" w:rsidRPr="00BE5769" w:rsidRDefault="00C63A33" w:rsidP="003C0A3A">
      <w:pPr>
        <w:pStyle w:val="Endofdocument-Annex"/>
        <w:ind w:left="5490" w:right="446"/>
        <w:rPr>
          <w:szCs w:val="22"/>
          <w:lang w:val="es-ES_tradnl"/>
        </w:rPr>
      </w:pPr>
      <w:r w:rsidRPr="00BE5769">
        <w:rPr>
          <w:szCs w:val="22"/>
          <w:lang w:val="es-ES_tradnl"/>
        </w:rPr>
        <w:t xml:space="preserve">[Fin del Anexo </w:t>
      </w:r>
      <w:r w:rsidR="003C0A3A">
        <w:rPr>
          <w:szCs w:val="22"/>
          <w:lang w:val="es-ES_tradnl"/>
        </w:rPr>
        <w:t xml:space="preserve">III </w:t>
      </w:r>
      <w:r w:rsidRPr="00BE5769">
        <w:rPr>
          <w:szCs w:val="22"/>
          <w:lang w:val="es-ES_tradnl"/>
        </w:rPr>
        <w:t>y del documento]</w:t>
      </w:r>
    </w:p>
    <w:sectPr w:rsidR="00067276" w:rsidRPr="00BE5769" w:rsidSect="007637EE">
      <w:headerReference w:type="even" r:id="rId8"/>
      <w:headerReference w:type="default" r:id="rId9"/>
      <w:headerReference w:type="first" r:id="rId10"/>
      <w:pgSz w:w="11906" w:h="16838"/>
      <w:pgMar w:top="1138" w:right="1138"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A50FC" w14:textId="77777777" w:rsidR="00D1665D" w:rsidRDefault="00D1665D" w:rsidP="00067276">
      <w:pPr>
        <w:spacing w:after="0" w:line="240" w:lineRule="auto"/>
      </w:pPr>
      <w:r>
        <w:separator/>
      </w:r>
    </w:p>
  </w:endnote>
  <w:endnote w:type="continuationSeparator" w:id="0">
    <w:p w14:paraId="78DDAA05" w14:textId="77777777" w:rsidR="00D1665D" w:rsidRDefault="00D1665D" w:rsidP="0006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62910" w14:textId="77777777" w:rsidR="00D1665D" w:rsidRDefault="00D1665D" w:rsidP="00067276">
      <w:pPr>
        <w:spacing w:after="0" w:line="240" w:lineRule="auto"/>
      </w:pPr>
      <w:r>
        <w:separator/>
      </w:r>
    </w:p>
  </w:footnote>
  <w:footnote w:type="continuationSeparator" w:id="0">
    <w:p w14:paraId="0A615408" w14:textId="77777777" w:rsidR="00D1665D" w:rsidRDefault="00D1665D" w:rsidP="0006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9C6A" w14:textId="44E9D525" w:rsidR="00EA1C64" w:rsidRPr="00BE486C" w:rsidRDefault="00EA1C64" w:rsidP="00C52D2E">
    <w:pPr>
      <w:pStyle w:val="Header"/>
      <w:jc w:val="right"/>
      <w:rPr>
        <w:rFonts w:ascii="Arial" w:hAnsi="Arial" w:cs="Arial"/>
        <w:lang w:val="fr-CH"/>
      </w:rPr>
    </w:pPr>
    <w:r w:rsidRPr="00BE486C">
      <w:rPr>
        <w:rFonts w:ascii="Arial" w:hAnsi="Arial" w:cs="Arial"/>
        <w:noProof/>
        <w:lang w:val="en-US" w:eastAsia="zh-CN"/>
      </w:rPr>
      <mc:AlternateContent>
        <mc:Choice Requires="wps">
          <w:drawing>
            <wp:anchor distT="558800" distB="0" distL="114300" distR="114300" simplePos="0" relativeHeight="251661312" behindDoc="0" locked="0" layoutInCell="0" allowOverlap="1" wp14:anchorId="43AFB7E4" wp14:editId="613ED3A6">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3E8F5" w14:textId="436FA1A9"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AFB7E4"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0DA3E8F5" w14:textId="436FA1A9" w:rsidR="00EA1C64" w:rsidRDefault="00EA1C64" w:rsidP="00EA1C64">
                    <w:pPr>
                      <w:spacing w:after="0" w:line="240" w:lineRule="auto"/>
                      <w:jc w:val="center"/>
                    </w:pPr>
                  </w:p>
                </w:txbxContent>
              </v:textbox>
              <w10:wrap anchorx="margin" anchory="margin"/>
            </v:shape>
          </w:pict>
        </mc:Fallback>
      </mc:AlternateContent>
    </w:r>
    <w:r w:rsidR="002701DD">
      <w:rPr>
        <w:rFonts w:ascii="Arial" w:hAnsi="Arial" w:cs="Arial"/>
        <w:lang w:val="fr-CH"/>
      </w:rPr>
      <w:t>CWS/8/24 P</w:t>
    </w:r>
    <w:r w:rsidR="00C52D2E">
      <w:rPr>
        <w:rFonts w:ascii="Arial" w:hAnsi="Arial" w:cs="Arial"/>
        <w:lang w:val="fr-CH"/>
      </w:rPr>
      <w:t>rov</w:t>
    </w:r>
    <w:r w:rsidR="002701DD">
      <w:rPr>
        <w:rFonts w:ascii="Arial" w:hAnsi="Arial" w:cs="Arial"/>
        <w:lang w:val="fr-CH"/>
      </w:rPr>
      <w:t>.</w:t>
    </w:r>
  </w:p>
  <w:p w14:paraId="7E275F6D" w14:textId="125CCBDD" w:rsidR="00EA1C64" w:rsidRPr="00355A86" w:rsidRDefault="00EA1C64" w:rsidP="00EA1C64">
    <w:pPr>
      <w:pStyle w:val="Header"/>
      <w:jc w:val="right"/>
      <w:rPr>
        <w:rFonts w:ascii="Arial" w:hAnsi="Arial" w:cs="Arial"/>
        <w:lang w:val="fr-CH"/>
      </w:rPr>
    </w:pPr>
    <w:r w:rsidRPr="00BE486C">
      <w:rPr>
        <w:rFonts w:ascii="Arial" w:hAnsi="Arial" w:cs="Arial"/>
        <w:lang w:val="fr-CH"/>
      </w:rPr>
      <w:t xml:space="preserve">Annex III, page </w:t>
    </w:r>
    <w:sdt>
      <w:sdtPr>
        <w:rPr>
          <w:rFonts w:ascii="Arial" w:hAnsi="Arial" w:cs="Arial"/>
        </w:rPr>
        <w:id w:val="681093206"/>
        <w:docPartObj>
          <w:docPartGallery w:val="Page Numbers (Top of Page)"/>
          <w:docPartUnique/>
        </w:docPartObj>
      </w:sdtPr>
      <w:sdtEndPr/>
      <w:sdtContent>
        <w:r w:rsidRPr="00BE486C">
          <w:rPr>
            <w:rFonts w:ascii="Arial" w:hAnsi="Arial" w:cs="Arial"/>
          </w:rPr>
          <w:fldChar w:fldCharType="begin"/>
        </w:r>
        <w:r w:rsidRPr="00355A86">
          <w:rPr>
            <w:rFonts w:ascii="Arial" w:hAnsi="Arial" w:cs="Arial"/>
            <w:lang w:val="fr-CH"/>
          </w:rPr>
          <w:instrText>PAGE   \* MERGEFORMAT</w:instrText>
        </w:r>
        <w:r w:rsidRPr="00BE486C">
          <w:rPr>
            <w:rFonts w:ascii="Arial" w:hAnsi="Arial" w:cs="Arial"/>
          </w:rPr>
          <w:fldChar w:fldCharType="separate"/>
        </w:r>
        <w:r w:rsidR="007637EE">
          <w:rPr>
            <w:rFonts w:ascii="Arial" w:hAnsi="Arial" w:cs="Arial"/>
            <w:noProof/>
            <w:lang w:val="fr-CH"/>
          </w:rPr>
          <w:t>2</w:t>
        </w:r>
        <w:r w:rsidRPr="00BE486C">
          <w:rPr>
            <w:rFonts w:ascii="Arial" w:hAnsi="Arial" w:cs="Arial"/>
          </w:rPr>
          <w:fldChar w:fldCharType="end"/>
        </w:r>
      </w:sdtContent>
    </w:sdt>
  </w:p>
  <w:p w14:paraId="4784DF65" w14:textId="77777777" w:rsidR="00EA1C64" w:rsidRPr="00355A86" w:rsidRDefault="00EA1C64" w:rsidP="00EA1C64">
    <w:pPr>
      <w:pStyle w:val="Header"/>
      <w:jc w:val="right"/>
      <w:rPr>
        <w:rFonts w:ascii="Arial" w:hAnsi="Arial" w:cs="Arial"/>
        <w:lang w:val="fr-CH"/>
      </w:rPr>
    </w:pPr>
  </w:p>
  <w:p w14:paraId="4F7AF6D7" w14:textId="77777777" w:rsidR="00EA1C64" w:rsidRPr="00355A86" w:rsidRDefault="00EA1C64" w:rsidP="00EA1C64">
    <w:pPr>
      <w:pStyle w:val="Header"/>
      <w:jc w:val="right"/>
      <w:rPr>
        <w:rFonts w:ascii="Arial" w:hAnsi="Arial" w:cs="Arial"/>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243F" w14:textId="7C5BA395" w:rsidR="007256CD" w:rsidRPr="00BE5769" w:rsidRDefault="007256CD">
    <w:pPr>
      <w:pStyle w:val="Header"/>
      <w:jc w:val="right"/>
      <w:rPr>
        <w:rFonts w:ascii="Arial" w:hAnsi="Arial" w:cs="Arial"/>
        <w:lang w:val="es-ES_tradnl"/>
      </w:rPr>
    </w:pPr>
    <w:r w:rsidRPr="00BE5769">
      <w:rPr>
        <w:rFonts w:ascii="Arial" w:hAnsi="Arial" w:cs="Arial"/>
        <w:lang w:val="es-ES_tradnl"/>
      </w:rPr>
      <w:t>CWS/</w:t>
    </w:r>
    <w:r w:rsidR="004B25D6">
      <w:rPr>
        <w:rFonts w:ascii="Arial" w:hAnsi="Arial" w:cs="Arial"/>
        <w:lang w:val="es-ES_tradnl"/>
      </w:rPr>
      <w:t>9</w:t>
    </w:r>
    <w:r w:rsidRPr="00BE5769">
      <w:rPr>
        <w:rFonts w:ascii="Arial" w:hAnsi="Arial" w:cs="Arial"/>
        <w:lang w:val="es-ES_tradnl"/>
      </w:rPr>
      <w:t>/</w:t>
    </w:r>
    <w:r w:rsidR="008A1F47" w:rsidRPr="00BE5769">
      <w:rPr>
        <w:rFonts w:ascii="Arial" w:hAnsi="Arial" w:cs="Arial"/>
        <w:lang w:val="es-ES_tradnl"/>
      </w:rPr>
      <w:t>2</w:t>
    </w:r>
    <w:r w:rsidR="004B25D6">
      <w:rPr>
        <w:rFonts w:ascii="Arial" w:hAnsi="Arial" w:cs="Arial"/>
        <w:lang w:val="es-ES_tradnl"/>
      </w:rPr>
      <w:t>5</w:t>
    </w:r>
  </w:p>
  <w:p w14:paraId="4B2185BE" w14:textId="5881C174" w:rsidR="007256CD" w:rsidRPr="00BE5769" w:rsidRDefault="007256CD">
    <w:pPr>
      <w:pStyle w:val="Header"/>
      <w:jc w:val="right"/>
      <w:rPr>
        <w:rFonts w:ascii="Arial" w:hAnsi="Arial" w:cs="Arial"/>
        <w:lang w:val="es-ES_tradnl"/>
      </w:rPr>
    </w:pPr>
    <w:r w:rsidRPr="00BE5769">
      <w:rPr>
        <w:rFonts w:ascii="Arial" w:hAnsi="Arial" w:cs="Arial"/>
        <w:lang w:val="es-ES_tradnl"/>
      </w:rPr>
      <w:t>Anex</w:t>
    </w:r>
    <w:r w:rsidR="007637EE" w:rsidRPr="00BE5769">
      <w:rPr>
        <w:rFonts w:ascii="Arial" w:hAnsi="Arial" w:cs="Arial"/>
        <w:lang w:val="es-ES_tradnl"/>
      </w:rPr>
      <w:t>o</w:t>
    </w:r>
    <w:r w:rsidR="008A1F47" w:rsidRPr="00BE5769">
      <w:rPr>
        <w:rFonts w:ascii="Arial" w:hAnsi="Arial" w:cs="Arial"/>
        <w:lang w:val="es-ES_tradnl"/>
      </w:rPr>
      <w:t xml:space="preserve"> III</w:t>
    </w:r>
    <w:r w:rsidRPr="00BE5769">
      <w:rPr>
        <w:rFonts w:ascii="Arial" w:hAnsi="Arial" w:cs="Arial"/>
        <w:lang w:val="es-ES_tradnl"/>
      </w:rPr>
      <w:t>, p</w:t>
    </w:r>
    <w:r w:rsidR="007637EE" w:rsidRPr="00BE5769">
      <w:rPr>
        <w:rFonts w:ascii="Arial" w:hAnsi="Arial" w:cs="Arial"/>
        <w:lang w:val="es-ES_tradnl"/>
      </w:rPr>
      <w:t>ágina</w:t>
    </w:r>
    <w:r w:rsidRPr="00BE5769">
      <w:rPr>
        <w:rFonts w:ascii="Arial" w:hAnsi="Arial" w:cs="Arial"/>
        <w:lang w:val="es-ES_tradnl"/>
      </w:rPr>
      <w:t xml:space="preserve"> </w:t>
    </w:r>
    <w:sdt>
      <w:sdtPr>
        <w:rPr>
          <w:rFonts w:ascii="Arial" w:hAnsi="Arial" w:cs="Arial"/>
          <w:lang w:val="es-ES_tradnl"/>
        </w:rPr>
        <w:id w:val="1138684335"/>
        <w:docPartObj>
          <w:docPartGallery w:val="Page Numbers (Top of Page)"/>
          <w:docPartUnique/>
        </w:docPartObj>
      </w:sdtPr>
      <w:sdtEndPr/>
      <w:sdtContent>
        <w:r w:rsidRPr="00BE5769">
          <w:rPr>
            <w:rFonts w:ascii="Arial" w:hAnsi="Arial" w:cs="Arial"/>
            <w:lang w:val="es-ES_tradnl"/>
          </w:rPr>
          <w:fldChar w:fldCharType="begin"/>
        </w:r>
        <w:r w:rsidRPr="00BE5769">
          <w:rPr>
            <w:rFonts w:ascii="Arial" w:hAnsi="Arial" w:cs="Arial"/>
            <w:lang w:val="es-ES_tradnl"/>
          </w:rPr>
          <w:instrText>PAGE   \* MERGEFORMAT</w:instrText>
        </w:r>
        <w:r w:rsidRPr="00BE5769">
          <w:rPr>
            <w:rFonts w:ascii="Arial" w:hAnsi="Arial" w:cs="Arial"/>
            <w:lang w:val="es-ES_tradnl"/>
          </w:rPr>
          <w:fldChar w:fldCharType="separate"/>
        </w:r>
        <w:r w:rsidR="007434A3">
          <w:rPr>
            <w:rFonts w:ascii="Arial" w:hAnsi="Arial" w:cs="Arial"/>
            <w:noProof/>
            <w:lang w:val="es-ES_tradnl"/>
          </w:rPr>
          <w:t>3</w:t>
        </w:r>
        <w:r w:rsidRPr="00BE5769">
          <w:rPr>
            <w:rFonts w:ascii="Arial" w:hAnsi="Arial" w:cs="Arial"/>
            <w:lang w:val="es-ES_tradnl"/>
          </w:rPr>
          <w:fldChar w:fldCharType="end"/>
        </w:r>
      </w:sdtContent>
    </w:sdt>
  </w:p>
  <w:p w14:paraId="7D6FF737" w14:textId="77777777" w:rsidR="007256CD" w:rsidRPr="00BE5769" w:rsidRDefault="007256CD" w:rsidP="003E5640">
    <w:pPr>
      <w:pStyle w:val="Header"/>
      <w:jc w:val="right"/>
      <w:rPr>
        <w:rFonts w:ascii="Arial" w:hAnsi="Arial" w:cs="Arial"/>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86F5" w14:textId="22582430" w:rsidR="003E5640" w:rsidRPr="000B0786" w:rsidRDefault="00C52D2E" w:rsidP="003E5640">
    <w:pPr>
      <w:pStyle w:val="Header"/>
      <w:jc w:val="right"/>
      <w:rPr>
        <w:rFonts w:ascii="Arial" w:hAnsi="Arial" w:cs="Arial"/>
        <w:lang w:val="es-ES_tradnl"/>
      </w:rPr>
    </w:pPr>
    <w:r w:rsidRPr="000B0786">
      <w:rPr>
        <w:rFonts w:ascii="Arial" w:hAnsi="Arial" w:cs="Arial"/>
        <w:lang w:val="es-ES_tradnl"/>
      </w:rPr>
      <w:t>CWS/</w:t>
    </w:r>
    <w:r w:rsidR="004B25D6" w:rsidRPr="000B0786">
      <w:rPr>
        <w:rFonts w:ascii="Arial" w:hAnsi="Arial" w:cs="Arial"/>
        <w:lang w:val="es-ES_tradnl"/>
      </w:rPr>
      <w:t>9</w:t>
    </w:r>
    <w:r w:rsidRPr="000B0786">
      <w:rPr>
        <w:rFonts w:ascii="Arial" w:hAnsi="Arial" w:cs="Arial"/>
        <w:lang w:val="es-ES_tradnl"/>
      </w:rPr>
      <w:t>/2</w:t>
    </w:r>
    <w:r w:rsidR="004B25D6" w:rsidRPr="000B0786">
      <w:rPr>
        <w:rFonts w:ascii="Arial" w:hAnsi="Arial" w:cs="Arial"/>
        <w:lang w:val="es-ES_tradnl"/>
      </w:rPr>
      <w:t>5</w:t>
    </w:r>
  </w:p>
  <w:p w14:paraId="15341A22" w14:textId="39BE85A4" w:rsidR="003E5640" w:rsidRPr="000B0786" w:rsidRDefault="003E5640" w:rsidP="003E5640">
    <w:pPr>
      <w:pStyle w:val="Header"/>
      <w:jc w:val="right"/>
      <w:rPr>
        <w:rFonts w:ascii="Arial" w:hAnsi="Arial" w:cs="Arial"/>
        <w:lang w:val="es-ES_tradnl"/>
      </w:rPr>
    </w:pPr>
    <w:r w:rsidRPr="000B0786">
      <w:rPr>
        <w:rFonts w:ascii="Arial" w:hAnsi="Arial" w:cs="Arial"/>
        <w:lang w:val="es-ES_tradnl"/>
      </w:rPr>
      <w:t>ANEX</w:t>
    </w:r>
    <w:r w:rsidR="007637EE" w:rsidRPr="000B0786">
      <w:rPr>
        <w:rFonts w:ascii="Arial" w:hAnsi="Arial" w:cs="Arial"/>
        <w:lang w:val="es-ES_tradnl"/>
      </w:rPr>
      <w:t>O</w:t>
    </w:r>
    <w:r w:rsidR="008A1F47" w:rsidRPr="000B0786">
      <w:rPr>
        <w:rFonts w:ascii="Arial" w:hAnsi="Arial" w:cs="Arial"/>
        <w:lang w:val="es-ES_tradnl"/>
      </w:rPr>
      <w:t xml:space="preserve"> III</w:t>
    </w:r>
  </w:p>
  <w:p w14:paraId="36B4B78F" w14:textId="77777777" w:rsidR="003E5640" w:rsidRPr="000B0786" w:rsidRDefault="003E5640" w:rsidP="003E5640">
    <w:pPr>
      <w:pStyle w:val="Header"/>
      <w:jc w:val="right"/>
      <w:rPr>
        <w:rFonts w:ascii="Arial" w:hAnsi="Arial" w:cs="Arial"/>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31953"/>
    <w:multiLevelType w:val="hybridMultilevel"/>
    <w:tmpl w:val="7E3C3A3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631D6"/>
    <w:multiLevelType w:val="multilevel"/>
    <w:tmpl w:val="573AA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Outreach\POW Main|Team Server TMs\Spanish|TextBase TMs\WorkspaceSTS\Brands, Designs &amp; DN\Hague|TextBase TMs\WorkspaceSTS\Patents &amp; Innovation\Patents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Patents &amp; Innovation\P Instruments|TextBase TMs\WorkspaceSTS\Treaties &amp; Laws\WIPO Lex"/>
    <w:docVar w:name="TextBaseURL" w:val="empty"/>
    <w:docVar w:name="UILng" w:val="en"/>
  </w:docVars>
  <w:rsids>
    <w:rsidRoot w:val="006D5076"/>
    <w:rsid w:val="00003ADB"/>
    <w:rsid w:val="00003F1D"/>
    <w:rsid w:val="00012601"/>
    <w:rsid w:val="00035556"/>
    <w:rsid w:val="00042EE3"/>
    <w:rsid w:val="000572CB"/>
    <w:rsid w:val="00063A4B"/>
    <w:rsid w:val="00067276"/>
    <w:rsid w:val="00072AF1"/>
    <w:rsid w:val="00094021"/>
    <w:rsid w:val="00097FB6"/>
    <w:rsid w:val="000A3818"/>
    <w:rsid w:val="000B0786"/>
    <w:rsid w:val="000B0E09"/>
    <w:rsid w:val="000C0A4D"/>
    <w:rsid w:val="000D01B2"/>
    <w:rsid w:val="000D6F53"/>
    <w:rsid w:val="001130F4"/>
    <w:rsid w:val="001252D4"/>
    <w:rsid w:val="00131424"/>
    <w:rsid w:val="0014013D"/>
    <w:rsid w:val="00142D75"/>
    <w:rsid w:val="00151B6D"/>
    <w:rsid w:val="001537F1"/>
    <w:rsid w:val="00174487"/>
    <w:rsid w:val="00175754"/>
    <w:rsid w:val="00191F95"/>
    <w:rsid w:val="001A0848"/>
    <w:rsid w:val="001B0A4F"/>
    <w:rsid w:val="001B44A2"/>
    <w:rsid w:val="001E4F53"/>
    <w:rsid w:val="001F0303"/>
    <w:rsid w:val="001F4C3D"/>
    <w:rsid w:val="001F5D89"/>
    <w:rsid w:val="002270D0"/>
    <w:rsid w:val="002344D6"/>
    <w:rsid w:val="002407E1"/>
    <w:rsid w:val="00240ADD"/>
    <w:rsid w:val="002451D8"/>
    <w:rsid w:val="0025356A"/>
    <w:rsid w:val="0026124C"/>
    <w:rsid w:val="002701DD"/>
    <w:rsid w:val="002941A5"/>
    <w:rsid w:val="002A1236"/>
    <w:rsid w:val="002A16BA"/>
    <w:rsid w:val="002A6D7C"/>
    <w:rsid w:val="002C2567"/>
    <w:rsid w:val="002F61B5"/>
    <w:rsid w:val="003025CC"/>
    <w:rsid w:val="00310BD0"/>
    <w:rsid w:val="00310F8E"/>
    <w:rsid w:val="00313404"/>
    <w:rsid w:val="003328A2"/>
    <w:rsid w:val="003533C1"/>
    <w:rsid w:val="00355A86"/>
    <w:rsid w:val="00383170"/>
    <w:rsid w:val="003B4961"/>
    <w:rsid w:val="003C0A3A"/>
    <w:rsid w:val="003D2F15"/>
    <w:rsid w:val="003D5E37"/>
    <w:rsid w:val="003E41B6"/>
    <w:rsid w:val="003E5640"/>
    <w:rsid w:val="003E7985"/>
    <w:rsid w:val="00400163"/>
    <w:rsid w:val="00404621"/>
    <w:rsid w:val="004176DC"/>
    <w:rsid w:val="00427E00"/>
    <w:rsid w:val="00441C53"/>
    <w:rsid w:val="0045224E"/>
    <w:rsid w:val="00462745"/>
    <w:rsid w:val="00481A8E"/>
    <w:rsid w:val="004836D4"/>
    <w:rsid w:val="004933E8"/>
    <w:rsid w:val="004972A1"/>
    <w:rsid w:val="004B25D6"/>
    <w:rsid w:val="004C068D"/>
    <w:rsid w:val="004E1AEB"/>
    <w:rsid w:val="0052420B"/>
    <w:rsid w:val="00540869"/>
    <w:rsid w:val="005420DC"/>
    <w:rsid w:val="00551621"/>
    <w:rsid w:val="005B53FB"/>
    <w:rsid w:val="005C14EC"/>
    <w:rsid w:val="005C4051"/>
    <w:rsid w:val="00614CB2"/>
    <w:rsid w:val="00631BF9"/>
    <w:rsid w:val="00632161"/>
    <w:rsid w:val="00635643"/>
    <w:rsid w:val="00635BAE"/>
    <w:rsid w:val="006365AB"/>
    <w:rsid w:val="006564DC"/>
    <w:rsid w:val="00663630"/>
    <w:rsid w:val="00675B90"/>
    <w:rsid w:val="00682EBD"/>
    <w:rsid w:val="00686FED"/>
    <w:rsid w:val="006A26BC"/>
    <w:rsid w:val="006C05E5"/>
    <w:rsid w:val="006C3D58"/>
    <w:rsid w:val="006D5076"/>
    <w:rsid w:val="00707CC9"/>
    <w:rsid w:val="007256CD"/>
    <w:rsid w:val="007434A3"/>
    <w:rsid w:val="0076147E"/>
    <w:rsid w:val="007637EE"/>
    <w:rsid w:val="007A326E"/>
    <w:rsid w:val="007C6599"/>
    <w:rsid w:val="007F3EAE"/>
    <w:rsid w:val="00814BA0"/>
    <w:rsid w:val="00821F3E"/>
    <w:rsid w:val="008321B7"/>
    <w:rsid w:val="00840ADC"/>
    <w:rsid w:val="00851953"/>
    <w:rsid w:val="00853287"/>
    <w:rsid w:val="008810D2"/>
    <w:rsid w:val="00885905"/>
    <w:rsid w:val="00893B91"/>
    <w:rsid w:val="008A1F47"/>
    <w:rsid w:val="008D2FB6"/>
    <w:rsid w:val="008D36CE"/>
    <w:rsid w:val="008D73B3"/>
    <w:rsid w:val="0090163A"/>
    <w:rsid w:val="00906A8F"/>
    <w:rsid w:val="00924512"/>
    <w:rsid w:val="00924C4D"/>
    <w:rsid w:val="00934E78"/>
    <w:rsid w:val="00971218"/>
    <w:rsid w:val="00973549"/>
    <w:rsid w:val="00974419"/>
    <w:rsid w:val="009747A8"/>
    <w:rsid w:val="00975548"/>
    <w:rsid w:val="0097617F"/>
    <w:rsid w:val="00976434"/>
    <w:rsid w:val="00984878"/>
    <w:rsid w:val="009A0ACD"/>
    <w:rsid w:val="009B0B5C"/>
    <w:rsid w:val="009B0BBE"/>
    <w:rsid w:val="009B43B7"/>
    <w:rsid w:val="009C65F1"/>
    <w:rsid w:val="009D700C"/>
    <w:rsid w:val="009F6689"/>
    <w:rsid w:val="00A023EB"/>
    <w:rsid w:val="00A4483F"/>
    <w:rsid w:val="00A62687"/>
    <w:rsid w:val="00A7292D"/>
    <w:rsid w:val="00AA64DA"/>
    <w:rsid w:val="00AC0F8F"/>
    <w:rsid w:val="00AC6A33"/>
    <w:rsid w:val="00AD4EC4"/>
    <w:rsid w:val="00AE7157"/>
    <w:rsid w:val="00B001EB"/>
    <w:rsid w:val="00B01F7D"/>
    <w:rsid w:val="00B4337A"/>
    <w:rsid w:val="00B67439"/>
    <w:rsid w:val="00B7254D"/>
    <w:rsid w:val="00B8446F"/>
    <w:rsid w:val="00B92DAF"/>
    <w:rsid w:val="00BA1E1E"/>
    <w:rsid w:val="00BC66C7"/>
    <w:rsid w:val="00BE486C"/>
    <w:rsid w:val="00BE5769"/>
    <w:rsid w:val="00BF00D2"/>
    <w:rsid w:val="00C2105A"/>
    <w:rsid w:val="00C21450"/>
    <w:rsid w:val="00C30A7D"/>
    <w:rsid w:val="00C360BC"/>
    <w:rsid w:val="00C401E5"/>
    <w:rsid w:val="00C44317"/>
    <w:rsid w:val="00C52D2E"/>
    <w:rsid w:val="00C567CF"/>
    <w:rsid w:val="00C63A33"/>
    <w:rsid w:val="00C67544"/>
    <w:rsid w:val="00C7245A"/>
    <w:rsid w:val="00C734D9"/>
    <w:rsid w:val="00C832D4"/>
    <w:rsid w:val="00C853A1"/>
    <w:rsid w:val="00CB057B"/>
    <w:rsid w:val="00CB0D1E"/>
    <w:rsid w:val="00CB4BCC"/>
    <w:rsid w:val="00CE06E6"/>
    <w:rsid w:val="00CE3044"/>
    <w:rsid w:val="00CF3827"/>
    <w:rsid w:val="00CF4BB0"/>
    <w:rsid w:val="00CF5A56"/>
    <w:rsid w:val="00D1665D"/>
    <w:rsid w:val="00D31ABA"/>
    <w:rsid w:val="00D3547F"/>
    <w:rsid w:val="00D3584D"/>
    <w:rsid w:val="00D6788E"/>
    <w:rsid w:val="00D83426"/>
    <w:rsid w:val="00D86060"/>
    <w:rsid w:val="00D901F9"/>
    <w:rsid w:val="00DA0792"/>
    <w:rsid w:val="00DA78A1"/>
    <w:rsid w:val="00DE564B"/>
    <w:rsid w:val="00E06219"/>
    <w:rsid w:val="00E2226D"/>
    <w:rsid w:val="00E355E6"/>
    <w:rsid w:val="00E44D41"/>
    <w:rsid w:val="00E52D96"/>
    <w:rsid w:val="00E542FA"/>
    <w:rsid w:val="00E576CC"/>
    <w:rsid w:val="00E66FAA"/>
    <w:rsid w:val="00E87E42"/>
    <w:rsid w:val="00E96F5D"/>
    <w:rsid w:val="00EA1C64"/>
    <w:rsid w:val="00EA2A6F"/>
    <w:rsid w:val="00EA5075"/>
    <w:rsid w:val="00EB6C31"/>
    <w:rsid w:val="00ED231E"/>
    <w:rsid w:val="00ED32D6"/>
    <w:rsid w:val="00ED6F8A"/>
    <w:rsid w:val="00EE6940"/>
    <w:rsid w:val="00F039B2"/>
    <w:rsid w:val="00F06FF7"/>
    <w:rsid w:val="00F51DCC"/>
    <w:rsid w:val="00F722CA"/>
    <w:rsid w:val="00F84386"/>
    <w:rsid w:val="00F97406"/>
    <w:rsid w:val="00FB1228"/>
    <w:rsid w:val="00FC417A"/>
    <w:rsid w:val="00FC701B"/>
    <w:rsid w:val="00FC7E5E"/>
    <w:rsid w:val="00FD1571"/>
    <w:rsid w:val="00FD1ED9"/>
    <w:rsid w:val="00FE0031"/>
    <w:rsid w:val="00FE0EF0"/>
    <w:rsid w:val="00FE5573"/>
    <w:rsid w:val="00FE6870"/>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6A94"/>
  <w15:docId w15:val="{71A2B4F6-09FB-4175-9016-1C7F3C3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78"/>
  </w:style>
  <w:style w:type="paragraph" w:styleId="Heading1">
    <w:name w:val="heading 1"/>
    <w:basedOn w:val="Normal"/>
    <w:next w:val="Normal"/>
    <w:link w:val="Heading1Char"/>
    <w:qFormat/>
    <w:rsid w:val="00067276"/>
    <w:pPr>
      <w:keepNext/>
      <w:spacing w:before="240" w:after="60" w:line="240" w:lineRule="auto"/>
      <w:outlineLvl w:val="0"/>
    </w:pPr>
    <w:rPr>
      <w:rFonts w:ascii="Arial" w:eastAsia="SimSun" w:hAnsi="Arial" w:cs="Arial"/>
      <w:b/>
      <w:bCs/>
      <w:caps/>
      <w:kern w:val="32"/>
      <w:szCs w:val="32"/>
      <w:lang w:val="en-US"/>
    </w:rPr>
  </w:style>
  <w:style w:type="paragraph" w:styleId="Heading2">
    <w:name w:val="heading 2"/>
    <w:basedOn w:val="Normal"/>
    <w:next w:val="Normal"/>
    <w:link w:val="Heading2Char"/>
    <w:unhideWhenUsed/>
    <w:qFormat/>
    <w:rsid w:val="00885905"/>
    <w:pPr>
      <w:keepNext/>
      <w:spacing w:before="240" w:after="60" w:line="240" w:lineRule="auto"/>
      <w:outlineLvl w:val="1"/>
    </w:pPr>
    <w:rPr>
      <w:rFonts w:ascii="Arial" w:eastAsia="SimSun" w:hAnsi="Arial" w:cs="Arial"/>
      <w:bCs/>
      <w:iCs/>
      <w:caps/>
      <w:szCs w:val="28"/>
      <w:lang w:val="en-US"/>
    </w:rPr>
  </w:style>
  <w:style w:type="paragraph" w:styleId="Heading4">
    <w:name w:val="heading 4"/>
    <w:basedOn w:val="Normal"/>
    <w:next w:val="Normal"/>
    <w:link w:val="Heading4Char"/>
    <w:qFormat/>
    <w:rsid w:val="00067276"/>
    <w:pPr>
      <w:keepNext/>
      <w:spacing w:before="240" w:after="60" w:line="240" w:lineRule="auto"/>
      <w:outlineLvl w:val="3"/>
    </w:pPr>
    <w:rPr>
      <w:rFonts w:ascii="Arial" w:eastAsia="SimSun" w:hAnsi="Arial" w:cs="Arial"/>
      <w:bCs/>
      <w:i/>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E7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34E78"/>
    <w:rPr>
      <w:rFonts w:ascii="Tahoma" w:hAnsi="Tahoma" w:cs="Tahoma"/>
      <w:szCs w:val="16"/>
    </w:rPr>
  </w:style>
  <w:style w:type="character" w:styleId="CommentReference">
    <w:name w:val="annotation reference"/>
    <w:basedOn w:val="DefaultParagraphFont"/>
    <w:uiPriority w:val="99"/>
    <w:semiHidden/>
    <w:unhideWhenUsed/>
    <w:rsid w:val="00934E78"/>
    <w:rPr>
      <w:sz w:val="16"/>
      <w:szCs w:val="16"/>
    </w:rPr>
  </w:style>
  <w:style w:type="paragraph" w:styleId="CommentText">
    <w:name w:val="annotation text"/>
    <w:basedOn w:val="Normal"/>
    <w:link w:val="CommentTextChar"/>
    <w:uiPriority w:val="99"/>
    <w:semiHidden/>
    <w:unhideWhenUsed/>
    <w:rsid w:val="00934E78"/>
    <w:pPr>
      <w:spacing w:line="240" w:lineRule="auto"/>
    </w:pPr>
    <w:rPr>
      <w:sz w:val="20"/>
      <w:szCs w:val="20"/>
    </w:rPr>
  </w:style>
  <w:style w:type="character" w:customStyle="1" w:styleId="CommentTextChar">
    <w:name w:val="Comment Text Char"/>
    <w:basedOn w:val="DefaultParagraphFont"/>
    <w:link w:val="CommentText"/>
    <w:uiPriority w:val="99"/>
    <w:semiHidden/>
    <w:rsid w:val="00934E78"/>
    <w:rPr>
      <w:sz w:val="20"/>
      <w:szCs w:val="20"/>
    </w:rPr>
  </w:style>
  <w:style w:type="paragraph" w:styleId="CommentSubject">
    <w:name w:val="annotation subject"/>
    <w:basedOn w:val="CommentText"/>
    <w:next w:val="CommentText"/>
    <w:link w:val="CommentSubjectChar"/>
    <w:uiPriority w:val="99"/>
    <w:semiHidden/>
    <w:unhideWhenUsed/>
    <w:rsid w:val="00934E78"/>
    <w:rPr>
      <w:b/>
      <w:bCs/>
    </w:rPr>
  </w:style>
  <w:style w:type="character" w:customStyle="1" w:styleId="CommentSubjectChar">
    <w:name w:val="Comment Subject Char"/>
    <w:basedOn w:val="CommentTextChar"/>
    <w:link w:val="CommentSubject"/>
    <w:uiPriority w:val="99"/>
    <w:semiHidden/>
    <w:rsid w:val="00934E78"/>
    <w:rPr>
      <w:b/>
      <w:bCs/>
      <w:sz w:val="20"/>
      <w:szCs w:val="20"/>
    </w:rPr>
  </w:style>
  <w:style w:type="character" w:customStyle="1" w:styleId="snck-msg">
    <w:name w:val="snck-msg"/>
    <w:basedOn w:val="DefaultParagraphFont"/>
    <w:rsid w:val="00C30A7D"/>
  </w:style>
  <w:style w:type="character" w:customStyle="1" w:styleId="ovfl-xlt">
    <w:name w:val="ovfl-xlt"/>
    <w:basedOn w:val="DefaultParagraphFont"/>
    <w:rsid w:val="00C30A7D"/>
  </w:style>
  <w:style w:type="character" w:customStyle="1" w:styleId="tlid-translation">
    <w:name w:val="tlid-translation"/>
    <w:basedOn w:val="DefaultParagraphFont"/>
    <w:rsid w:val="00C30A7D"/>
  </w:style>
  <w:style w:type="paragraph" w:styleId="Revision">
    <w:name w:val="Revision"/>
    <w:hidden/>
    <w:uiPriority w:val="99"/>
    <w:semiHidden/>
    <w:rsid w:val="003E41B6"/>
    <w:pPr>
      <w:spacing w:after="0" w:line="240" w:lineRule="auto"/>
    </w:pPr>
  </w:style>
  <w:style w:type="character" w:customStyle="1" w:styleId="Heading2Char">
    <w:name w:val="Heading 2 Char"/>
    <w:basedOn w:val="DefaultParagraphFont"/>
    <w:link w:val="Heading2"/>
    <w:rsid w:val="00885905"/>
    <w:rPr>
      <w:rFonts w:ascii="Arial" w:eastAsia="SimSun" w:hAnsi="Arial" w:cs="Arial"/>
      <w:bCs/>
      <w:iCs/>
      <w:caps/>
      <w:szCs w:val="28"/>
      <w:lang w:val="en-US"/>
    </w:rPr>
  </w:style>
  <w:style w:type="character" w:customStyle="1" w:styleId="Heading1Char">
    <w:name w:val="Heading 1 Char"/>
    <w:basedOn w:val="DefaultParagraphFont"/>
    <w:link w:val="Heading1"/>
    <w:rsid w:val="00067276"/>
    <w:rPr>
      <w:rFonts w:ascii="Arial" w:eastAsia="SimSun" w:hAnsi="Arial" w:cs="Arial"/>
      <w:b/>
      <w:bCs/>
      <w:caps/>
      <w:kern w:val="32"/>
      <w:szCs w:val="32"/>
      <w:lang w:val="en-US"/>
    </w:rPr>
  </w:style>
  <w:style w:type="paragraph" w:styleId="Header">
    <w:name w:val="header"/>
    <w:basedOn w:val="Normal"/>
    <w:link w:val="HeaderChar"/>
    <w:uiPriority w:val="99"/>
    <w:unhideWhenUsed/>
    <w:rsid w:val="0006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276"/>
  </w:style>
  <w:style w:type="paragraph" w:styleId="Footer">
    <w:name w:val="footer"/>
    <w:basedOn w:val="Normal"/>
    <w:link w:val="FooterChar"/>
    <w:uiPriority w:val="99"/>
    <w:unhideWhenUsed/>
    <w:rsid w:val="0006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276"/>
  </w:style>
  <w:style w:type="character" w:customStyle="1" w:styleId="Heading4Char">
    <w:name w:val="Heading 4 Char"/>
    <w:basedOn w:val="DefaultParagraphFont"/>
    <w:link w:val="Heading4"/>
    <w:rsid w:val="00067276"/>
    <w:rPr>
      <w:rFonts w:ascii="Arial" w:eastAsia="SimSun" w:hAnsi="Arial" w:cs="Arial"/>
      <w:bCs/>
      <w:i/>
      <w:szCs w:val="28"/>
      <w:lang w:val="en-US"/>
    </w:rPr>
  </w:style>
  <w:style w:type="paragraph" w:customStyle="1" w:styleId="Endofdocument-Annex">
    <w:name w:val="[End of document - Annex]"/>
    <w:basedOn w:val="Normal"/>
    <w:rsid w:val="00067276"/>
    <w:pPr>
      <w:spacing w:after="0" w:line="240" w:lineRule="auto"/>
      <w:ind w:left="5534"/>
    </w:pPr>
    <w:rPr>
      <w:rFonts w:ascii="Arial" w:eastAsia="SimSun" w:hAnsi="Arial" w:cs="Arial"/>
      <w:szCs w:val="20"/>
      <w:lang w:val="en-US" w:eastAsia="zh-CN"/>
    </w:rPr>
  </w:style>
  <w:style w:type="paragraph" w:styleId="ListParagraph">
    <w:name w:val="List Paragraph"/>
    <w:basedOn w:val="Normal"/>
    <w:uiPriority w:val="34"/>
    <w:qFormat/>
    <w:rsid w:val="00EA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0790">
      <w:bodyDiv w:val="1"/>
      <w:marLeft w:val="0"/>
      <w:marRight w:val="0"/>
      <w:marTop w:val="0"/>
      <w:marBottom w:val="0"/>
      <w:divBdr>
        <w:top w:val="none" w:sz="0" w:space="0" w:color="auto"/>
        <w:left w:val="none" w:sz="0" w:space="0" w:color="auto"/>
        <w:bottom w:val="none" w:sz="0" w:space="0" w:color="auto"/>
        <w:right w:val="none" w:sz="0" w:space="0" w:color="auto"/>
      </w:divBdr>
    </w:div>
    <w:div w:id="128282079">
      <w:bodyDiv w:val="1"/>
      <w:marLeft w:val="0"/>
      <w:marRight w:val="0"/>
      <w:marTop w:val="0"/>
      <w:marBottom w:val="0"/>
      <w:divBdr>
        <w:top w:val="none" w:sz="0" w:space="0" w:color="auto"/>
        <w:left w:val="none" w:sz="0" w:space="0" w:color="auto"/>
        <w:bottom w:val="none" w:sz="0" w:space="0" w:color="auto"/>
        <w:right w:val="none" w:sz="0" w:space="0" w:color="auto"/>
      </w:divBdr>
    </w:div>
    <w:div w:id="368069537">
      <w:bodyDiv w:val="1"/>
      <w:marLeft w:val="0"/>
      <w:marRight w:val="0"/>
      <w:marTop w:val="0"/>
      <w:marBottom w:val="0"/>
      <w:divBdr>
        <w:top w:val="none" w:sz="0" w:space="0" w:color="auto"/>
        <w:left w:val="none" w:sz="0" w:space="0" w:color="auto"/>
        <w:bottom w:val="none" w:sz="0" w:space="0" w:color="auto"/>
        <w:right w:val="none" w:sz="0" w:space="0" w:color="auto"/>
      </w:divBdr>
    </w:div>
    <w:div w:id="490800045">
      <w:bodyDiv w:val="1"/>
      <w:marLeft w:val="0"/>
      <w:marRight w:val="0"/>
      <w:marTop w:val="0"/>
      <w:marBottom w:val="0"/>
      <w:divBdr>
        <w:top w:val="none" w:sz="0" w:space="0" w:color="auto"/>
        <w:left w:val="none" w:sz="0" w:space="0" w:color="auto"/>
        <w:bottom w:val="none" w:sz="0" w:space="0" w:color="auto"/>
        <w:right w:val="none" w:sz="0" w:space="0" w:color="auto"/>
      </w:divBdr>
    </w:div>
    <w:div w:id="746613712">
      <w:bodyDiv w:val="1"/>
      <w:marLeft w:val="0"/>
      <w:marRight w:val="0"/>
      <w:marTop w:val="0"/>
      <w:marBottom w:val="0"/>
      <w:divBdr>
        <w:top w:val="none" w:sz="0" w:space="0" w:color="auto"/>
        <w:left w:val="none" w:sz="0" w:space="0" w:color="auto"/>
        <w:bottom w:val="none" w:sz="0" w:space="0" w:color="auto"/>
        <w:right w:val="none" w:sz="0" w:space="0" w:color="auto"/>
      </w:divBdr>
      <w:divsChild>
        <w:div w:id="799958965">
          <w:marLeft w:val="0"/>
          <w:marRight w:val="0"/>
          <w:marTop w:val="0"/>
          <w:marBottom w:val="0"/>
          <w:divBdr>
            <w:top w:val="none" w:sz="0" w:space="0" w:color="auto"/>
            <w:left w:val="none" w:sz="0" w:space="0" w:color="auto"/>
            <w:bottom w:val="none" w:sz="0" w:space="0" w:color="auto"/>
            <w:right w:val="none" w:sz="0" w:space="0" w:color="auto"/>
          </w:divBdr>
          <w:divsChild>
            <w:div w:id="355545340">
              <w:marLeft w:val="0"/>
              <w:marRight w:val="0"/>
              <w:marTop w:val="0"/>
              <w:marBottom w:val="0"/>
              <w:divBdr>
                <w:top w:val="none" w:sz="0" w:space="0" w:color="auto"/>
                <w:left w:val="none" w:sz="0" w:space="0" w:color="auto"/>
                <w:bottom w:val="none" w:sz="0" w:space="0" w:color="auto"/>
                <w:right w:val="none" w:sz="0" w:space="0" w:color="auto"/>
              </w:divBdr>
              <w:divsChild>
                <w:div w:id="1052778092">
                  <w:marLeft w:val="0"/>
                  <w:marRight w:val="0"/>
                  <w:marTop w:val="0"/>
                  <w:marBottom w:val="0"/>
                  <w:divBdr>
                    <w:top w:val="none" w:sz="0" w:space="0" w:color="auto"/>
                    <w:left w:val="none" w:sz="0" w:space="0" w:color="auto"/>
                    <w:bottom w:val="none" w:sz="0" w:space="0" w:color="auto"/>
                    <w:right w:val="none" w:sz="0" w:space="0" w:color="auto"/>
                  </w:divBdr>
                  <w:divsChild>
                    <w:div w:id="2079936322">
                      <w:marLeft w:val="0"/>
                      <w:marRight w:val="0"/>
                      <w:marTop w:val="0"/>
                      <w:marBottom w:val="0"/>
                      <w:divBdr>
                        <w:top w:val="none" w:sz="0" w:space="0" w:color="auto"/>
                        <w:left w:val="none" w:sz="0" w:space="0" w:color="auto"/>
                        <w:bottom w:val="none" w:sz="0" w:space="0" w:color="auto"/>
                        <w:right w:val="none" w:sz="0" w:space="0" w:color="auto"/>
                      </w:divBdr>
                      <w:divsChild>
                        <w:div w:id="822235945">
                          <w:marLeft w:val="0"/>
                          <w:marRight w:val="0"/>
                          <w:marTop w:val="0"/>
                          <w:marBottom w:val="0"/>
                          <w:divBdr>
                            <w:top w:val="none" w:sz="0" w:space="0" w:color="auto"/>
                            <w:left w:val="none" w:sz="0" w:space="0" w:color="auto"/>
                            <w:bottom w:val="none" w:sz="0" w:space="0" w:color="auto"/>
                            <w:right w:val="none" w:sz="0" w:space="0" w:color="auto"/>
                          </w:divBdr>
                          <w:divsChild>
                            <w:div w:id="1461680488">
                              <w:marLeft w:val="0"/>
                              <w:marRight w:val="300"/>
                              <w:marTop w:val="180"/>
                              <w:marBottom w:val="0"/>
                              <w:divBdr>
                                <w:top w:val="none" w:sz="0" w:space="0" w:color="auto"/>
                                <w:left w:val="none" w:sz="0" w:space="0" w:color="auto"/>
                                <w:bottom w:val="none" w:sz="0" w:space="0" w:color="auto"/>
                                <w:right w:val="none" w:sz="0" w:space="0" w:color="auto"/>
                              </w:divBdr>
                              <w:divsChild>
                                <w:div w:id="11128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84007">
              <w:marLeft w:val="0"/>
              <w:marRight w:val="60"/>
              <w:marTop w:val="0"/>
              <w:marBottom w:val="0"/>
              <w:divBdr>
                <w:top w:val="none" w:sz="0" w:space="0" w:color="auto"/>
                <w:left w:val="none" w:sz="0" w:space="0" w:color="auto"/>
                <w:bottom w:val="none" w:sz="0" w:space="0" w:color="auto"/>
                <w:right w:val="none" w:sz="0" w:space="0" w:color="auto"/>
              </w:divBdr>
              <w:divsChild>
                <w:div w:id="15153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0747">
          <w:marLeft w:val="0"/>
          <w:marRight w:val="0"/>
          <w:marTop w:val="0"/>
          <w:marBottom w:val="0"/>
          <w:divBdr>
            <w:top w:val="none" w:sz="0" w:space="0" w:color="auto"/>
            <w:left w:val="none" w:sz="0" w:space="0" w:color="auto"/>
            <w:bottom w:val="none" w:sz="0" w:space="0" w:color="auto"/>
            <w:right w:val="none" w:sz="0" w:space="0" w:color="auto"/>
          </w:divBdr>
          <w:divsChild>
            <w:div w:id="1544755308">
              <w:marLeft w:val="0"/>
              <w:marRight w:val="0"/>
              <w:marTop w:val="0"/>
              <w:marBottom w:val="0"/>
              <w:divBdr>
                <w:top w:val="none" w:sz="0" w:space="0" w:color="auto"/>
                <w:left w:val="none" w:sz="0" w:space="0" w:color="auto"/>
                <w:bottom w:val="none" w:sz="0" w:space="0" w:color="auto"/>
                <w:right w:val="none" w:sz="0" w:space="0" w:color="auto"/>
              </w:divBdr>
              <w:divsChild>
                <w:div w:id="9113173">
                  <w:marLeft w:val="0"/>
                  <w:marRight w:val="0"/>
                  <w:marTop w:val="0"/>
                  <w:marBottom w:val="0"/>
                  <w:divBdr>
                    <w:top w:val="none" w:sz="0" w:space="0" w:color="auto"/>
                    <w:left w:val="none" w:sz="0" w:space="0" w:color="auto"/>
                    <w:bottom w:val="none" w:sz="0" w:space="0" w:color="auto"/>
                    <w:right w:val="none" w:sz="0" w:space="0" w:color="auto"/>
                  </w:divBdr>
                  <w:divsChild>
                    <w:div w:id="1912543360">
                      <w:marLeft w:val="0"/>
                      <w:marRight w:val="0"/>
                      <w:marTop w:val="0"/>
                      <w:marBottom w:val="0"/>
                      <w:divBdr>
                        <w:top w:val="none" w:sz="0" w:space="0" w:color="auto"/>
                        <w:left w:val="none" w:sz="0" w:space="0" w:color="auto"/>
                        <w:bottom w:val="none" w:sz="0" w:space="0" w:color="auto"/>
                        <w:right w:val="none" w:sz="0" w:space="0" w:color="auto"/>
                      </w:divBdr>
                      <w:divsChild>
                        <w:div w:id="6950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4909">
      <w:bodyDiv w:val="1"/>
      <w:marLeft w:val="0"/>
      <w:marRight w:val="0"/>
      <w:marTop w:val="0"/>
      <w:marBottom w:val="0"/>
      <w:divBdr>
        <w:top w:val="none" w:sz="0" w:space="0" w:color="auto"/>
        <w:left w:val="none" w:sz="0" w:space="0" w:color="auto"/>
        <w:bottom w:val="none" w:sz="0" w:space="0" w:color="auto"/>
        <w:right w:val="none" w:sz="0" w:space="0" w:color="auto"/>
      </w:divBdr>
    </w:div>
    <w:div w:id="1306199713">
      <w:bodyDiv w:val="1"/>
      <w:marLeft w:val="0"/>
      <w:marRight w:val="0"/>
      <w:marTop w:val="0"/>
      <w:marBottom w:val="0"/>
      <w:divBdr>
        <w:top w:val="none" w:sz="0" w:space="0" w:color="auto"/>
        <w:left w:val="none" w:sz="0" w:space="0" w:color="auto"/>
        <w:bottom w:val="none" w:sz="0" w:space="0" w:color="auto"/>
        <w:right w:val="none" w:sz="0" w:space="0" w:color="auto"/>
      </w:divBdr>
    </w:div>
    <w:div w:id="1461454394">
      <w:bodyDiv w:val="1"/>
      <w:marLeft w:val="0"/>
      <w:marRight w:val="0"/>
      <w:marTop w:val="0"/>
      <w:marBottom w:val="0"/>
      <w:divBdr>
        <w:top w:val="none" w:sz="0" w:space="0" w:color="auto"/>
        <w:left w:val="none" w:sz="0" w:space="0" w:color="auto"/>
        <w:bottom w:val="none" w:sz="0" w:space="0" w:color="auto"/>
        <w:right w:val="none" w:sz="0" w:space="0" w:color="auto"/>
      </w:divBdr>
    </w:div>
    <w:div w:id="1464081269">
      <w:bodyDiv w:val="1"/>
      <w:marLeft w:val="0"/>
      <w:marRight w:val="0"/>
      <w:marTop w:val="0"/>
      <w:marBottom w:val="0"/>
      <w:divBdr>
        <w:top w:val="none" w:sz="0" w:space="0" w:color="auto"/>
        <w:left w:val="none" w:sz="0" w:space="0" w:color="auto"/>
        <w:bottom w:val="none" w:sz="0" w:space="0" w:color="auto"/>
        <w:right w:val="none" w:sz="0" w:space="0" w:color="auto"/>
      </w:divBdr>
    </w:div>
    <w:div w:id="17229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E224-A88A-4429-9C9C-FD52805A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6273</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CWS/8/24 PROV. Annex III (in English)</vt:lpstr>
      <vt:lpstr>CWS/7/9 Annex (in English)</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CWS/9/25 PROV. Annex III</dc:title>
  <dc:subject/>
  <dc:creator>WIPO</dc:creator>
  <cp:keywords>FOR OFFICIAL USE ONLY</cp:keywords>
  <cp:lastModifiedBy>CHAVAS Louison</cp:lastModifiedBy>
  <cp:revision>3</cp:revision>
  <cp:lastPrinted>2019-07-26T09:53:00Z</cp:lastPrinted>
  <dcterms:created xsi:type="dcterms:W3CDTF">2021-12-08T14:17:00Z</dcterms:created>
  <dcterms:modified xsi:type="dcterms:W3CDTF">2022-01-31T16:37:00Z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af80f253-b18c-4101-9bef-87053be42e0a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