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3A2EDF" w:rsidRDefault="0040540C" w:rsidP="001B0829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3A2EDF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3A2EDF" w:rsidRDefault="004527EA" w:rsidP="001B0829">
      <w:pPr>
        <w:jc w:val="right"/>
        <w:rPr>
          <w:rFonts w:ascii="Arial Black" w:hAnsi="Arial Black"/>
          <w:caps/>
          <w:sz w:val="15"/>
          <w:lang w:val="fr-FR"/>
        </w:rPr>
      </w:pPr>
      <w:r w:rsidRPr="003A2EDF">
        <w:rPr>
          <w:rFonts w:ascii="Arial Black" w:hAnsi="Arial Black"/>
          <w:caps/>
          <w:sz w:val="15"/>
          <w:lang w:val="fr-FR"/>
        </w:rPr>
        <w:t>CWS/9/</w:t>
      </w:r>
      <w:bookmarkStart w:id="0" w:name="Code"/>
      <w:bookmarkEnd w:id="0"/>
      <w:r w:rsidR="00025EF5" w:rsidRPr="003A2EDF">
        <w:rPr>
          <w:rFonts w:ascii="Arial Black" w:hAnsi="Arial Black"/>
          <w:caps/>
          <w:sz w:val="15"/>
          <w:lang w:val="fr-FR"/>
        </w:rPr>
        <w:t>20</w:t>
      </w:r>
    </w:p>
    <w:p w:rsidR="008B2CC1" w:rsidRPr="003A2EDF" w:rsidRDefault="00B1090C" w:rsidP="001B0829">
      <w:pPr>
        <w:jc w:val="right"/>
        <w:rPr>
          <w:lang w:val="fr-FR"/>
        </w:rPr>
      </w:pPr>
      <w:r w:rsidRPr="003A2EDF">
        <w:rPr>
          <w:rFonts w:ascii="Arial Black" w:hAnsi="Arial Black"/>
          <w:caps/>
          <w:sz w:val="15"/>
          <w:lang w:val="fr-FR"/>
        </w:rPr>
        <w:t>ORIGINAL</w:t>
      </w:r>
      <w:r w:rsidR="00D81F4F" w:rsidRPr="003A2EDF">
        <w:rPr>
          <w:rFonts w:ascii="Arial Black" w:hAnsi="Arial Black"/>
          <w:caps/>
          <w:sz w:val="15"/>
          <w:lang w:val="fr-FR"/>
        </w:rPr>
        <w:t> :</w:t>
      </w:r>
      <w:r w:rsidR="002956DE" w:rsidRPr="003A2EDF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025EF5" w:rsidRPr="003A2EDF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8B2CC1" w:rsidRPr="003A2EDF" w:rsidRDefault="00B1090C" w:rsidP="001B0829">
      <w:pPr>
        <w:spacing w:after="1200"/>
        <w:jc w:val="right"/>
        <w:rPr>
          <w:lang w:val="fr-FR"/>
        </w:rPr>
      </w:pPr>
      <w:r w:rsidRPr="003A2EDF">
        <w:rPr>
          <w:rFonts w:ascii="Arial Black" w:hAnsi="Arial Black"/>
          <w:caps/>
          <w:sz w:val="15"/>
          <w:lang w:val="fr-FR"/>
        </w:rPr>
        <w:t>DATE</w:t>
      </w:r>
      <w:r w:rsidR="00D81F4F" w:rsidRPr="003A2EDF">
        <w:rPr>
          <w:rFonts w:ascii="Arial Black" w:hAnsi="Arial Black"/>
          <w:caps/>
          <w:sz w:val="15"/>
          <w:lang w:val="fr-FR"/>
        </w:rPr>
        <w:t> :</w:t>
      </w:r>
      <w:r w:rsidR="002956DE" w:rsidRPr="003A2EDF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025EF5" w:rsidRPr="003A2EDF">
        <w:rPr>
          <w:rFonts w:ascii="Arial Black" w:hAnsi="Arial Black"/>
          <w:caps/>
          <w:sz w:val="15"/>
          <w:lang w:val="fr-FR"/>
        </w:rPr>
        <w:t>10 septembre 2021</w:t>
      </w:r>
    </w:p>
    <w:bookmarkEnd w:id="2"/>
    <w:p w:rsidR="003845C1" w:rsidRPr="003A2EDF" w:rsidRDefault="00037E41" w:rsidP="001B0829">
      <w:pPr>
        <w:pStyle w:val="Title"/>
        <w:rPr>
          <w:caps w:val="0"/>
          <w:lang w:val="fr-FR"/>
        </w:rPr>
      </w:pPr>
      <w:r w:rsidRPr="003A2EDF">
        <w:rPr>
          <w:caps w:val="0"/>
          <w:lang w:val="fr-FR"/>
        </w:rPr>
        <w:t>Comité des normes de l</w:t>
      </w:r>
      <w:r w:rsidR="00D81F4F" w:rsidRPr="003A2EDF">
        <w:rPr>
          <w:caps w:val="0"/>
          <w:lang w:val="fr-FR"/>
        </w:rPr>
        <w:t>’</w:t>
      </w:r>
      <w:r w:rsidRPr="003A2EDF">
        <w:rPr>
          <w:caps w:val="0"/>
          <w:lang w:val="fr-FR"/>
        </w:rPr>
        <w:t>OMPI (CWS)</w:t>
      </w:r>
    </w:p>
    <w:p w:rsidR="00FE19E9" w:rsidRPr="003A2EDF" w:rsidRDefault="00037E41" w:rsidP="001B0829">
      <w:pPr>
        <w:outlineLvl w:val="1"/>
        <w:rPr>
          <w:b/>
          <w:sz w:val="28"/>
          <w:szCs w:val="28"/>
          <w:lang w:val="fr-FR"/>
        </w:rPr>
      </w:pPr>
      <w:r w:rsidRPr="003A2EDF">
        <w:rPr>
          <w:b/>
          <w:sz w:val="24"/>
          <w:lang w:val="fr-FR"/>
        </w:rPr>
        <w:t>Neuv</w:t>
      </w:r>
      <w:r w:rsidR="00D81F4F" w:rsidRPr="003A2EDF">
        <w:rPr>
          <w:b/>
          <w:sz w:val="24"/>
          <w:lang w:val="fr-FR"/>
        </w:rPr>
        <w:t>ième session</w:t>
      </w:r>
    </w:p>
    <w:p w:rsidR="008B2CC1" w:rsidRPr="003A2EDF" w:rsidRDefault="00037E41" w:rsidP="001B0829">
      <w:pPr>
        <w:spacing w:after="1200"/>
        <w:outlineLvl w:val="1"/>
        <w:rPr>
          <w:b/>
          <w:sz w:val="24"/>
          <w:szCs w:val="24"/>
          <w:lang w:val="fr-FR"/>
        </w:rPr>
      </w:pPr>
      <w:r w:rsidRPr="003A2EDF">
        <w:rPr>
          <w:b/>
          <w:sz w:val="24"/>
          <w:szCs w:val="24"/>
          <w:lang w:val="fr-FR"/>
        </w:rPr>
        <w:t>Genève, 1</w:t>
      </w:r>
      <w:r w:rsidRPr="003A2EDF">
        <w:rPr>
          <w:b/>
          <w:sz w:val="24"/>
          <w:szCs w:val="24"/>
          <w:vertAlign w:val="superscript"/>
          <w:lang w:val="fr-FR"/>
        </w:rPr>
        <w:t>er</w:t>
      </w:r>
      <w:r w:rsidR="001B0829">
        <w:rPr>
          <w:b/>
          <w:sz w:val="24"/>
          <w:szCs w:val="24"/>
          <w:vertAlign w:val="superscript"/>
          <w:lang w:val="fr-FR"/>
        </w:rPr>
        <w:t xml:space="preserve"> </w:t>
      </w:r>
      <w:r w:rsidRPr="003A2EDF">
        <w:rPr>
          <w:b/>
          <w:sz w:val="24"/>
          <w:szCs w:val="24"/>
          <w:lang w:val="fr-FR"/>
        </w:rPr>
        <w:t xml:space="preserve">– </w:t>
      </w:r>
      <w:r w:rsidR="00D81F4F" w:rsidRPr="003A2EDF">
        <w:rPr>
          <w:b/>
          <w:sz w:val="24"/>
          <w:szCs w:val="24"/>
          <w:lang w:val="fr-FR"/>
        </w:rPr>
        <w:t>5 novembre 20</w:t>
      </w:r>
      <w:r w:rsidRPr="003A2EDF">
        <w:rPr>
          <w:b/>
          <w:sz w:val="24"/>
          <w:szCs w:val="24"/>
          <w:lang w:val="fr-FR"/>
        </w:rPr>
        <w:t>21</w:t>
      </w:r>
    </w:p>
    <w:p w:rsidR="008B2CC1" w:rsidRPr="003A2EDF" w:rsidRDefault="00025EF5" w:rsidP="001B0829">
      <w:pPr>
        <w:spacing w:after="360"/>
        <w:rPr>
          <w:caps/>
          <w:sz w:val="24"/>
          <w:lang w:val="fr-FR"/>
        </w:rPr>
      </w:pPr>
      <w:bookmarkStart w:id="3" w:name="TitleOfDoc"/>
      <w:r w:rsidRPr="003A2EDF">
        <w:rPr>
          <w:caps/>
          <w:sz w:val="24"/>
          <w:lang w:val="fr-FR"/>
        </w:rPr>
        <w:t>Rapport de l</w:t>
      </w:r>
      <w:r w:rsidR="00D81F4F" w:rsidRPr="003A2EDF">
        <w:rPr>
          <w:caps/>
          <w:sz w:val="24"/>
          <w:lang w:val="fr-FR"/>
        </w:rPr>
        <w:t>’</w:t>
      </w:r>
      <w:r w:rsidRPr="003A2EDF">
        <w:rPr>
          <w:caps/>
          <w:sz w:val="24"/>
          <w:lang w:val="fr-FR"/>
        </w:rPr>
        <w:t>Équipe d</w:t>
      </w:r>
      <w:r w:rsidR="00D81F4F" w:rsidRPr="003A2EDF">
        <w:rPr>
          <w:caps/>
          <w:sz w:val="24"/>
          <w:lang w:val="fr-FR"/>
        </w:rPr>
        <w:t>’</w:t>
      </w:r>
      <w:r w:rsidRPr="003A2EDF">
        <w:rPr>
          <w:caps/>
          <w:sz w:val="24"/>
          <w:lang w:val="fr-FR"/>
        </w:rPr>
        <w:t>experts chargée de la septième partie</w:t>
      </w:r>
    </w:p>
    <w:p w:rsidR="008B2CC1" w:rsidRPr="003A2EDF" w:rsidRDefault="00025EF5" w:rsidP="001B0829">
      <w:pPr>
        <w:spacing w:after="1040"/>
        <w:rPr>
          <w:i/>
          <w:lang w:val="fr-FR"/>
        </w:rPr>
      </w:pPr>
      <w:bookmarkStart w:id="4" w:name="Prepared"/>
      <w:bookmarkEnd w:id="3"/>
      <w:bookmarkEnd w:id="4"/>
      <w:r w:rsidRPr="003A2EDF">
        <w:rPr>
          <w:i/>
          <w:lang w:val="fr-FR"/>
        </w:rPr>
        <w:t>Document établi par</w:t>
      </w:r>
      <w:bookmarkStart w:id="5" w:name="_GoBack"/>
      <w:bookmarkEnd w:id="5"/>
      <w:r w:rsidRPr="003A2EDF">
        <w:rPr>
          <w:i/>
          <w:lang w:val="fr-FR"/>
        </w:rPr>
        <w:t xml:space="preserve"> l</w:t>
      </w:r>
      <w:r w:rsidR="00D81F4F" w:rsidRPr="003A2EDF">
        <w:rPr>
          <w:i/>
          <w:lang w:val="fr-FR"/>
        </w:rPr>
        <w:t>’</w:t>
      </w:r>
      <w:r w:rsidRPr="003A2EDF">
        <w:rPr>
          <w:i/>
          <w:lang w:val="fr-FR"/>
        </w:rPr>
        <w:t>Équipe d</w:t>
      </w:r>
      <w:r w:rsidR="00D81F4F" w:rsidRPr="003A2EDF">
        <w:rPr>
          <w:i/>
          <w:lang w:val="fr-FR"/>
        </w:rPr>
        <w:t>’</w:t>
      </w:r>
      <w:r w:rsidRPr="003A2EDF">
        <w:rPr>
          <w:i/>
          <w:lang w:val="fr-FR"/>
        </w:rPr>
        <w:t>experts chargée de la septième partie</w:t>
      </w:r>
    </w:p>
    <w:p w:rsidR="00025EF5" w:rsidRPr="003A2EDF" w:rsidRDefault="007648C3" w:rsidP="001B0829">
      <w:pPr>
        <w:pStyle w:val="Heading2"/>
        <w:rPr>
          <w:lang w:val="fr-FR"/>
        </w:rPr>
      </w:pPr>
      <w:r w:rsidRPr="003A2EDF">
        <w:rPr>
          <w:lang w:val="fr-FR"/>
        </w:rPr>
        <w:t>Introduction</w:t>
      </w:r>
    </w:p>
    <w:p w:rsidR="00025EF5" w:rsidRPr="003A2EDF" w:rsidRDefault="00025EF5" w:rsidP="001B0829">
      <w:pPr>
        <w:pStyle w:val="ONUMFS"/>
        <w:rPr>
          <w:lang w:val="fr-FR"/>
        </w:rPr>
      </w:pPr>
      <w:r w:rsidRPr="003A2EDF">
        <w:rPr>
          <w:lang w:val="fr-FR"/>
        </w:rPr>
        <w:t>À la reprise de sa quatr</w:t>
      </w:r>
      <w:r w:rsidR="00D81F4F" w:rsidRPr="003A2EDF">
        <w:rPr>
          <w:lang w:val="fr-FR"/>
        </w:rPr>
        <w:t>ième session</w:t>
      </w:r>
      <w:r w:rsidRPr="003A2EDF">
        <w:rPr>
          <w:lang w:val="fr-FR"/>
        </w:rPr>
        <w:t xml:space="preserve"> en 2016, le Comité des normes de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OMPI (CWS) est convenu de la création de la tâche n</w:t>
      </w:r>
      <w:r w:rsidR="003A2EDF" w:rsidRPr="003A2EDF">
        <w:rPr>
          <w:lang w:val="fr-FR"/>
        </w:rPr>
        <w:t>° </w:t>
      </w:r>
      <w:r w:rsidRPr="003A2EDF">
        <w:rPr>
          <w:lang w:val="fr-FR"/>
        </w:rPr>
        <w:t>50</w:t>
      </w:r>
      <w:r w:rsidR="00D81F4F" w:rsidRPr="003A2EDF">
        <w:rPr>
          <w:lang w:val="fr-FR"/>
        </w:rPr>
        <w:t> :</w:t>
      </w:r>
      <w:r w:rsidRPr="003A2EDF">
        <w:rPr>
          <w:lang w:val="fr-FR"/>
        </w:rPr>
        <w:t xml:space="preserve"> “Assurer la tenue et la mise à jour requise des enquêtes publiées dans la septième partie du Manuel de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OMPI sur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information et la documentation en matière de propriété industrielle” et établir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équipe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experts correspondante (dénommée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Équipe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experts chargée de la septième part</w:t>
      </w:r>
      <w:r w:rsidR="003A2EDF" w:rsidRPr="003A2EDF">
        <w:rPr>
          <w:lang w:val="fr-FR"/>
        </w:rPr>
        <w:t>ie).  Le</w:t>
      </w:r>
      <w:r w:rsidRPr="003A2EDF">
        <w:rPr>
          <w:lang w:val="fr-FR"/>
        </w:rPr>
        <w:t xml:space="preserve"> Bureau international a été désigné comme responsable de cette équipe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experts.  (Voir les paragraphes 73 et 122</w:t>
      </w:r>
      <w:r w:rsidR="001B0829">
        <w:rPr>
          <w:lang w:val="fr-FR"/>
        </w:rPr>
        <w:t>.e)</w:t>
      </w:r>
      <w:r w:rsidRPr="003A2EDF">
        <w:rPr>
          <w:lang w:val="fr-FR"/>
        </w:rPr>
        <w:t xml:space="preserve"> du document CWS/4BIS/16.)</w:t>
      </w:r>
    </w:p>
    <w:p w:rsidR="00025EF5" w:rsidRPr="003A2EDF" w:rsidRDefault="00025EF5" w:rsidP="001B0829">
      <w:pPr>
        <w:pStyle w:val="ONUMFS"/>
        <w:rPr>
          <w:lang w:val="fr-FR"/>
        </w:rPr>
      </w:pPr>
      <w:r w:rsidRPr="003A2EDF">
        <w:rPr>
          <w:lang w:val="fr-FR"/>
        </w:rPr>
        <w:t>À sa sept</w:t>
      </w:r>
      <w:r w:rsidR="00D81F4F" w:rsidRPr="003A2EDF">
        <w:rPr>
          <w:lang w:val="fr-FR"/>
        </w:rPr>
        <w:t>ième session</w:t>
      </w:r>
      <w:r w:rsidRPr="003A2EDF">
        <w:rPr>
          <w:lang w:val="fr-FR"/>
        </w:rPr>
        <w:t xml:space="preserve"> tenue en 2019, le CWS a approuvé le programme de travail révisé sur la base des enquêtes menées jusque</w:t>
      </w:r>
      <w:r w:rsidR="001B0829">
        <w:rPr>
          <w:lang w:val="fr-FR"/>
        </w:rPr>
        <w:noBreakHyphen/>
      </w:r>
      <w:r w:rsidR="003A2EDF" w:rsidRPr="003A2EDF">
        <w:rPr>
          <w:lang w:val="fr-FR"/>
        </w:rPr>
        <w:t>là.  Le</w:t>
      </w:r>
      <w:r w:rsidRPr="003A2EDF">
        <w:rPr>
          <w:lang w:val="fr-FR"/>
        </w:rPr>
        <w:t> CWS est convenu de reporter la mise à jour de la partie 7.6 consacrée aux bulletins de brevets jusqu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à ce que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Équipe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experts chargée de la transformation numérique ait pu examiner la norme ST.18.  (Voir les paragraphes 183 à 185 du document CWS/7/29.)</w:t>
      </w:r>
    </w:p>
    <w:p w:rsidR="00025EF5" w:rsidRPr="003A2EDF" w:rsidRDefault="007648C3" w:rsidP="001B0829">
      <w:pPr>
        <w:pStyle w:val="Heading2"/>
        <w:rPr>
          <w:lang w:val="fr-FR"/>
        </w:rPr>
      </w:pPr>
      <w:r w:rsidRPr="003A2EDF">
        <w:rPr>
          <w:lang w:val="fr-FR"/>
        </w:rPr>
        <w:t>Rapport sur l</w:t>
      </w:r>
      <w:r w:rsidR="00D81F4F" w:rsidRPr="003A2EDF">
        <w:rPr>
          <w:lang w:val="fr-FR"/>
        </w:rPr>
        <w:t>’</w:t>
      </w:r>
      <w:r w:rsidRPr="003A2EDF">
        <w:rPr>
          <w:sz w:val="24"/>
          <w:lang w:val="fr-FR"/>
        </w:rPr>
        <w:t>é</w:t>
      </w:r>
      <w:r w:rsidRPr="003A2EDF">
        <w:rPr>
          <w:lang w:val="fr-FR"/>
        </w:rPr>
        <w:t>tat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avancement</w:t>
      </w:r>
    </w:p>
    <w:p w:rsidR="00025EF5" w:rsidRPr="003A2EDF" w:rsidRDefault="00025EF5" w:rsidP="001B0829">
      <w:pPr>
        <w:pStyle w:val="ONUMFS"/>
        <w:rPr>
          <w:lang w:val="fr-FR"/>
        </w:rPr>
      </w:pPr>
      <w:r w:rsidRPr="003A2EDF">
        <w:rPr>
          <w:lang w:val="fr-FR"/>
        </w:rPr>
        <w:t>En avril 2021, le Bureau international a publié des mises à jour portant sur les systèmes de numérotation des documents publiés et des titres enregistrés dans la partie 7.2.2 du Manuel de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OMPI. 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Équipe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experts a également révisé le programme de travail concernant la tenue et la mise à jour de la septième partie du Manuel de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 xml:space="preserve">OMPI dans le cadre de la tâche n° 50.  Le précédent programme de travail figurant dans le document </w:t>
      </w:r>
      <w:hyperlink r:id="rId9" w:history="1">
        <w:r w:rsidRPr="003A2EDF">
          <w:rPr>
            <w:rStyle w:val="Hyperlink"/>
            <w:lang w:val="fr-FR"/>
          </w:rPr>
          <w:t>CWS/7/22</w:t>
        </w:r>
      </w:hyperlink>
      <w:r w:rsidRPr="003A2EDF">
        <w:rPr>
          <w:lang w:val="fr-FR"/>
        </w:rPr>
        <w:t xml:space="preserve"> invitait à la mise à jour de plusieurs enquêtes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ici la dix</w:t>
      </w:r>
      <w:r w:rsidR="00D81F4F" w:rsidRPr="003A2EDF">
        <w:rPr>
          <w:lang w:val="fr-FR"/>
        </w:rPr>
        <w:t>ième session</w:t>
      </w:r>
      <w:r w:rsidRPr="003A2EDF">
        <w:rPr>
          <w:lang w:val="fr-FR"/>
        </w:rPr>
        <w:t xml:space="preserve"> du </w:t>
      </w:r>
      <w:r w:rsidR="003A2EDF" w:rsidRPr="003A2EDF">
        <w:rPr>
          <w:lang w:val="fr-FR"/>
        </w:rPr>
        <w:t>CWS.  Ce</w:t>
      </w:r>
      <w:r w:rsidRPr="003A2EDF">
        <w:rPr>
          <w:lang w:val="fr-FR"/>
        </w:rPr>
        <w:t xml:space="preserve"> programme est désormais obsolète en raison des perturbations liées à la pandém</w:t>
      </w:r>
      <w:r w:rsidR="003A2EDF" w:rsidRPr="003A2EDF">
        <w:rPr>
          <w:lang w:val="fr-FR"/>
        </w:rPr>
        <w:t>ie.  Me</w:t>
      </w:r>
      <w:r w:rsidRPr="003A2EDF">
        <w:rPr>
          <w:lang w:val="fr-FR"/>
        </w:rPr>
        <w:t xml:space="preserve">ttre à jour toutes les enquêtes restantes en </w:t>
      </w:r>
      <w:r w:rsidRPr="003A2EDF">
        <w:rPr>
          <w:lang w:val="fr-FR"/>
        </w:rPr>
        <w:lastRenderedPageBreak/>
        <w:t>une seule année après la neuv</w:t>
      </w:r>
      <w:r w:rsidR="00D81F4F" w:rsidRPr="003A2EDF">
        <w:rPr>
          <w:lang w:val="fr-FR"/>
        </w:rPr>
        <w:t>ième session</w:t>
      </w:r>
      <w:r w:rsidRPr="003A2EDF">
        <w:rPr>
          <w:lang w:val="fr-FR"/>
        </w:rPr>
        <w:t xml:space="preserve"> du CWS ferait peser une charge excessive sur les membres du comité, qui devraient recueillir et rendre compte des données au moyen de plusieurs longues enquêtes.</w:t>
      </w:r>
    </w:p>
    <w:p w:rsidR="00025EF5" w:rsidRPr="003A2EDF" w:rsidRDefault="00025EF5" w:rsidP="001B0829">
      <w:pPr>
        <w:pStyle w:val="ONUMFS"/>
        <w:rPr>
          <w:szCs w:val="22"/>
          <w:lang w:val="fr-FR"/>
        </w:rPr>
      </w:pPr>
      <w:r w:rsidRPr="003A2EDF">
        <w:rPr>
          <w:lang w:val="fr-FR"/>
        </w:rPr>
        <w:t>Le précédent programme de travail était également compliqué en raison du découpage de certaines enquêtes en trois phases</w:t>
      </w:r>
      <w:r w:rsidR="00D81F4F" w:rsidRPr="003A2EDF">
        <w:rPr>
          <w:lang w:val="fr-FR"/>
        </w:rPr>
        <w:t> :</w:t>
      </w:r>
      <w:r w:rsidRPr="003A2EDF">
        <w:rPr>
          <w:lang w:val="fr-FR"/>
        </w:rPr>
        <w:t xml:space="preserve"> questionnaire, collecte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informations et publicati</w:t>
      </w:r>
      <w:r w:rsidR="003A2EDF" w:rsidRPr="003A2EDF">
        <w:rPr>
          <w:lang w:val="fr-FR"/>
        </w:rPr>
        <w:t>on.  To</w:t>
      </w:r>
      <w:r w:rsidRPr="003A2EDF">
        <w:rPr>
          <w:lang w:val="fr-FR"/>
        </w:rPr>
        <w:t>ut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abord, un questionnaire devait être élaboré et présenté au CWS pour approbation, puis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enquête était men</w:t>
      </w:r>
      <w:r w:rsidR="003A2EDF" w:rsidRPr="003A2EDF">
        <w:rPr>
          <w:lang w:val="fr-FR"/>
        </w:rPr>
        <w:t>ée.  Le</w:t>
      </w:r>
      <w:r w:rsidRPr="003A2EDF">
        <w:rPr>
          <w:lang w:val="fr-FR"/>
        </w:rPr>
        <w:t>s résultats étaient ensuite présentés à la session suivante du CWS pour enfin être publi</w:t>
      </w:r>
      <w:r w:rsidR="003A2EDF" w:rsidRPr="003A2EDF">
        <w:rPr>
          <w:lang w:val="fr-FR"/>
        </w:rPr>
        <w:t>és.  Ce</w:t>
      </w:r>
      <w:r w:rsidRPr="003A2EDF">
        <w:rPr>
          <w:lang w:val="fr-FR"/>
        </w:rPr>
        <w:t>pendant, certaines enquêtes suivaient une procédure simplifiée, dans laquelle le Bureau international collectait et publiait simplement les informations mises à jour et informait le CWS une fois les résultats publiés.</w:t>
      </w:r>
    </w:p>
    <w:p w:rsidR="00025EF5" w:rsidRPr="003A2EDF" w:rsidRDefault="00025EF5" w:rsidP="001B0829">
      <w:pPr>
        <w:pStyle w:val="Heading2"/>
        <w:rPr>
          <w:szCs w:val="22"/>
          <w:shd w:val="clear" w:color="auto" w:fill="FFFFFF"/>
          <w:lang w:val="fr-FR"/>
        </w:rPr>
      </w:pPr>
      <w:r w:rsidRPr="003A2EDF">
        <w:rPr>
          <w:lang w:val="fr-FR"/>
        </w:rPr>
        <w:t>Programme de travail</w:t>
      </w:r>
    </w:p>
    <w:p w:rsidR="00025EF5" w:rsidRPr="003A2EDF" w:rsidRDefault="00025EF5" w:rsidP="001B0829">
      <w:pPr>
        <w:pStyle w:val="ONUMFS"/>
        <w:rPr>
          <w:lang w:val="fr-FR"/>
        </w:rPr>
      </w:pPr>
      <w:r w:rsidRPr="003A2EDF">
        <w:rPr>
          <w:lang w:val="fr-FR"/>
        </w:rPr>
        <w:t>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Équipe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experts chargée de la septième partie propose de mener une enquête par année civile pour chacune des sections qui doivent encore être mises à jour</w:t>
      </w:r>
      <w:r w:rsidR="00D81F4F" w:rsidRPr="003A2EDF">
        <w:rPr>
          <w:lang w:val="fr-FR"/>
        </w:rPr>
        <w:t> :</w:t>
      </w:r>
    </w:p>
    <w:p w:rsidR="00025EF5" w:rsidRPr="003A2EDF" w:rsidRDefault="00025EF5" w:rsidP="001B0829">
      <w:pPr>
        <w:pStyle w:val="Bulletedlistlevel2"/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3A2EDF">
        <w:rPr>
          <w:lang w:val="fr-FR"/>
        </w:rPr>
        <w:t>Partie 7.1 Modes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indication des dates</w:t>
      </w:r>
    </w:p>
    <w:p w:rsidR="00025EF5" w:rsidRPr="003A2EDF" w:rsidRDefault="00025EF5" w:rsidP="001B0829">
      <w:pPr>
        <w:pStyle w:val="Bulletedlistlevel2"/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3A2EDF">
        <w:rPr>
          <w:lang w:val="fr-FR"/>
        </w:rPr>
        <w:t>Partie 7.2.6 Numérotation des demandes et des demandes établissant une priorité – pratiques actuelles</w:t>
      </w:r>
    </w:p>
    <w:p w:rsidR="00025EF5" w:rsidRPr="003A2EDF" w:rsidRDefault="00025EF5" w:rsidP="001B0829">
      <w:pPr>
        <w:pStyle w:val="Bulletedlistlevel2"/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3A2EDF">
        <w:rPr>
          <w:lang w:val="fr-FR"/>
        </w:rPr>
        <w:t>Partie 7.2.7 Numérotation des demandes et des demandes établissant une priorité – pratiques antérieures</w:t>
      </w:r>
    </w:p>
    <w:p w:rsidR="00025EF5" w:rsidRPr="003A2EDF" w:rsidRDefault="00025EF5" w:rsidP="001B0829">
      <w:pPr>
        <w:pStyle w:val="Bulletedlistlevel2"/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3A2EDF">
        <w:rPr>
          <w:lang w:val="fr-FR"/>
        </w:rPr>
        <w:t>Partie 7.3 Exemples et types de documents de brevet</w:t>
      </w:r>
    </w:p>
    <w:p w:rsidR="00025EF5" w:rsidRPr="003A2EDF" w:rsidRDefault="00025EF5" w:rsidP="001B0829">
      <w:pPr>
        <w:pStyle w:val="Bulletedlistlevel2"/>
        <w:tabs>
          <w:tab w:val="clear" w:pos="567"/>
          <w:tab w:val="num" w:pos="1134"/>
        </w:tabs>
        <w:spacing w:after="220"/>
        <w:ind w:left="1134" w:hanging="567"/>
        <w:rPr>
          <w:lang w:val="fr-FR"/>
        </w:rPr>
      </w:pPr>
      <w:r w:rsidRPr="003A2EDF">
        <w:rPr>
          <w:lang w:val="fr-FR"/>
        </w:rPr>
        <w:t>Partie 7.6 Répertoire des informations bibliographiques contenues dans les bulletins de brevets</w:t>
      </w:r>
    </w:p>
    <w:p w:rsidR="00025EF5" w:rsidRPr="003A2EDF" w:rsidRDefault="00025EF5" w:rsidP="001B0829">
      <w:pPr>
        <w:pStyle w:val="ONUMFS"/>
        <w:rPr>
          <w:lang w:val="fr-FR"/>
        </w:rPr>
      </w:pPr>
      <w:r w:rsidRPr="003A2EDF">
        <w:rPr>
          <w:lang w:val="fr-FR"/>
        </w:rPr>
        <w:t>Les mises à jour des enquêtes commenceront par les sections les plus obsolètes en 2022 et 2023 et se poursuivront jusqu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aux sections les plus récentes en 2024 et 2025.  Les formats actuels et antérieurs des numérotations des demandes (section 7.2.6 et 7.2.7) feront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objet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une seule enquête, étant donné que ces deux</w:t>
      </w:r>
      <w:r w:rsidR="00F2092A" w:rsidRPr="003A2EDF">
        <w:rPr>
          <w:lang w:val="fr-FR"/>
        </w:rPr>
        <w:t> </w:t>
      </w:r>
      <w:r w:rsidRPr="003A2EDF">
        <w:rPr>
          <w:lang w:val="fr-FR"/>
        </w:rPr>
        <w:t>parties sont étroitement lié</w:t>
      </w:r>
      <w:r w:rsidR="003A2EDF" w:rsidRPr="003A2EDF">
        <w:rPr>
          <w:lang w:val="fr-FR"/>
        </w:rPr>
        <w:t>es.  Vo</w:t>
      </w:r>
      <w:r w:rsidRPr="003A2EDF">
        <w:rPr>
          <w:lang w:val="fr-FR"/>
        </w:rPr>
        <w:t>ir le tableau des actions en suspens ci</w:t>
      </w:r>
      <w:r w:rsidR="001B0829">
        <w:rPr>
          <w:lang w:val="fr-FR"/>
        </w:rPr>
        <w:noBreakHyphen/>
      </w:r>
      <w:r w:rsidRPr="003A2EDF">
        <w:rPr>
          <w:lang w:val="fr-FR"/>
        </w:rPr>
        <w:t>dessous pour le calendrier propo</w:t>
      </w:r>
      <w:r w:rsidR="003A2EDF" w:rsidRPr="003A2EDF">
        <w:rPr>
          <w:lang w:val="fr-FR"/>
        </w:rPr>
        <w:t>sé.  D’i</w:t>
      </w:r>
      <w:r w:rsidRPr="003A2EDF">
        <w:rPr>
          <w:lang w:val="fr-FR"/>
        </w:rPr>
        <w:t>ci à la fin de 2025, toutes les sections de la septième partie seront à jour.</w:t>
      </w:r>
    </w:p>
    <w:p w:rsidR="00025EF5" w:rsidRPr="003A2EDF" w:rsidRDefault="00025EF5" w:rsidP="001B0829">
      <w:pPr>
        <w:pStyle w:val="ONUMFS"/>
        <w:rPr>
          <w:lang w:val="fr-FR"/>
        </w:rPr>
      </w:pPr>
      <w:r w:rsidRPr="003A2EDF">
        <w:rPr>
          <w:lang w:val="fr-FR"/>
        </w:rPr>
        <w:t>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Équipe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experts propose également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archiver la section 7.2.3 sur les systèmes de numérotation et les configurations pour indiquer les dates déjà appliqués ou que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on envisage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appliquer compte tenu du passage à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an 2000, qu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il était recommandé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archiver dans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ancien programme de trava</w:t>
      </w:r>
      <w:r w:rsidR="003A2EDF" w:rsidRPr="003A2EDF">
        <w:rPr>
          <w:lang w:val="fr-FR"/>
        </w:rPr>
        <w:t>il.  Si</w:t>
      </w:r>
      <w:r w:rsidRPr="003A2EDF">
        <w:rPr>
          <w:lang w:val="fr-FR"/>
        </w:rPr>
        <w:t xml:space="preserve"> le CWS donne son approbation, la section 7.2.3 sera archivée immédiatement après la neuv</w:t>
      </w:r>
      <w:r w:rsidR="00D81F4F" w:rsidRPr="003A2EDF">
        <w:rPr>
          <w:lang w:val="fr-FR"/>
        </w:rPr>
        <w:t>ième session</w:t>
      </w:r>
      <w:r w:rsidRPr="003A2EDF">
        <w:rPr>
          <w:lang w:val="fr-FR"/>
        </w:rPr>
        <w:t xml:space="preserve"> du CWS.</w:t>
      </w:r>
    </w:p>
    <w:p w:rsidR="00025EF5" w:rsidRPr="003A2EDF" w:rsidRDefault="00025EF5" w:rsidP="001B0829">
      <w:pPr>
        <w:pStyle w:val="ONUMFS"/>
        <w:rPr>
          <w:lang w:val="fr-FR"/>
        </w:rPr>
      </w:pPr>
      <w:r w:rsidRPr="003A2EDF">
        <w:rPr>
          <w:lang w:val="fr-FR"/>
        </w:rPr>
        <w:t>Toutes les mises à jour restantes des enquêtes de la septième partie seront menées au moyen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une procédure simplifiée, c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est</w:t>
      </w:r>
      <w:r w:rsidR="001B0829">
        <w:rPr>
          <w:lang w:val="fr-FR"/>
        </w:rPr>
        <w:noBreakHyphen/>
      </w:r>
      <w:r w:rsidRPr="003A2EDF">
        <w:rPr>
          <w:lang w:val="fr-FR"/>
        </w:rPr>
        <w:t>à</w:t>
      </w:r>
      <w:r w:rsidR="001B0829">
        <w:rPr>
          <w:lang w:val="fr-FR"/>
        </w:rPr>
        <w:noBreakHyphen/>
      </w:r>
      <w:r w:rsidRPr="003A2EDF">
        <w:rPr>
          <w:lang w:val="fr-FR"/>
        </w:rPr>
        <w:t>dire la collecte et la publication des résultats sans présentation du questionnaire ou des résultats au CWS pour approbati</w:t>
      </w:r>
      <w:r w:rsidR="003A2EDF" w:rsidRPr="003A2EDF">
        <w:rPr>
          <w:lang w:val="fr-FR"/>
        </w:rPr>
        <w:t>on.  Le</w:t>
      </w:r>
      <w:r w:rsidRPr="003A2EDF">
        <w:rPr>
          <w:lang w:val="fr-FR"/>
        </w:rPr>
        <w:t> CWS sera informé des résultats publiés à sa session suivan</w:t>
      </w:r>
      <w:r w:rsidR="003A2EDF" w:rsidRPr="003A2EDF">
        <w:rPr>
          <w:lang w:val="fr-FR"/>
        </w:rPr>
        <w:t>te.  Ce</w:t>
      </w:r>
      <w:r w:rsidRPr="003A2EDF">
        <w:rPr>
          <w:lang w:val="fr-FR"/>
        </w:rPr>
        <w:t>tte approche est conforme à la décision prise à la cinqu</w:t>
      </w:r>
      <w:r w:rsidR="00D81F4F" w:rsidRPr="003A2EDF">
        <w:rPr>
          <w:lang w:val="fr-FR"/>
        </w:rPr>
        <w:t>ième session</w:t>
      </w:r>
      <w:r w:rsidRPr="003A2EDF">
        <w:rPr>
          <w:lang w:val="fr-FR"/>
        </w:rPr>
        <w:t xml:space="preserve"> du CWS quant à la manière de conduire les mises à jour des enquêtes existantes (voir le paragraphe 70.a) du document CWS/5/22).</w:t>
      </w:r>
    </w:p>
    <w:p w:rsidR="00025EF5" w:rsidRPr="003A2EDF" w:rsidRDefault="00025EF5" w:rsidP="001B0829">
      <w:pPr>
        <w:pStyle w:val="ONUMFS"/>
        <w:rPr>
          <w:lang w:val="fr-FR"/>
        </w:rPr>
      </w:pPr>
      <w:r w:rsidRPr="003A2EDF">
        <w:rPr>
          <w:lang w:val="fr-FR"/>
        </w:rPr>
        <w:t>À chaque réunion du CWS,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Équipe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 xml:space="preserve">experts informera le CWS des progrès accomplis dans les mises à jour des enquêtes de la septième partie, </w:t>
      </w:r>
      <w:r w:rsidR="00D81F4F" w:rsidRPr="003A2EDF">
        <w:rPr>
          <w:lang w:val="fr-FR"/>
        </w:rPr>
        <w:t>y compris</w:t>
      </w:r>
      <w:r w:rsidRPr="003A2EDF">
        <w:rPr>
          <w:lang w:val="fr-FR"/>
        </w:rPr>
        <w:t xml:space="preserve"> tout résultat ayant été publ</w:t>
      </w:r>
      <w:r w:rsidR="003A2EDF" w:rsidRPr="003A2EDF">
        <w:rPr>
          <w:lang w:val="fr-FR"/>
        </w:rPr>
        <w:t>ié.  Ce</w:t>
      </w:r>
      <w:r w:rsidRPr="003A2EDF">
        <w:rPr>
          <w:lang w:val="fr-FR"/>
        </w:rPr>
        <w:t>tte procédure rationalisée simplifiera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administration des enquêt</w:t>
      </w:r>
      <w:r w:rsidR="003A2EDF" w:rsidRPr="003A2EDF">
        <w:rPr>
          <w:lang w:val="fr-FR"/>
        </w:rPr>
        <w:t>es.  El</w:t>
      </w:r>
      <w:r w:rsidRPr="003A2EDF">
        <w:rPr>
          <w:lang w:val="fr-FR"/>
        </w:rPr>
        <w:t>le soulagera également les membres du CWS de certaines charges, puisqu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ils devront travailler uniquement sur une seule enquête par année civile au moyen de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approche simplifiée, au lieu de devoir éventuellement approuver un questionnaire pour une enquête, répondre à une deuxième enquête et approuver les résultats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une troisième enquête dans une même année.</w:t>
      </w:r>
    </w:p>
    <w:p w:rsidR="00025EF5" w:rsidRPr="003A2EDF" w:rsidRDefault="00025EF5" w:rsidP="001B0829">
      <w:pPr>
        <w:pStyle w:val="ONUMFS"/>
        <w:rPr>
          <w:lang w:val="fr-FR"/>
        </w:rPr>
      </w:pPr>
      <w:r w:rsidRPr="003A2EDF">
        <w:rPr>
          <w:lang w:val="fr-FR"/>
        </w:rPr>
        <w:lastRenderedPageBreak/>
        <w:t>Les tableaux ci</w:t>
      </w:r>
      <w:r w:rsidR="001B0829">
        <w:rPr>
          <w:lang w:val="fr-FR"/>
        </w:rPr>
        <w:noBreakHyphen/>
      </w:r>
      <w:r w:rsidRPr="003A2EDF">
        <w:rPr>
          <w:lang w:val="fr-FR"/>
        </w:rPr>
        <w:t>dessous résument la situation de chaque section de la septième partie au titre du programme de travail propo</w:t>
      </w:r>
      <w:r w:rsidR="003A2EDF" w:rsidRPr="003A2EDF">
        <w:rPr>
          <w:lang w:val="fr-FR"/>
        </w:rPr>
        <w:t>sé.  Le</w:t>
      </w:r>
      <w:r w:rsidRPr="003A2EDF">
        <w:rPr>
          <w:lang w:val="fr-FR"/>
        </w:rPr>
        <w:t xml:space="preserve"> tableau intitulé “Aucune action en suspens” contient les enquêtes qui ont déjà été mises à jour et qui sont désormais terminées ou les enquêtes pour lesquelles aucune mise à jour n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 été demandée par le CWS.</w:t>
      </w:r>
    </w:p>
    <w:p w:rsidR="00025EF5" w:rsidRPr="003A2EDF" w:rsidRDefault="00025EF5" w:rsidP="001B0829">
      <w:pPr>
        <w:pStyle w:val="ONUMFS"/>
        <w:rPr>
          <w:lang w:val="fr-FR"/>
        </w:rPr>
      </w:pPr>
      <w:r w:rsidRPr="003A2EDF">
        <w:rPr>
          <w:lang w:val="fr-FR"/>
        </w:rPr>
        <w:t>En outre, et bien que ce ne soit pas indiqué dans le tableau, le Bureau international propose de prochainement mettre à jour la partie 7.9 sur les pratiques en matière de citatio</w:t>
      </w:r>
      <w:r w:rsidR="003A2EDF" w:rsidRPr="003A2EDF">
        <w:rPr>
          <w:lang w:val="fr-FR"/>
        </w:rPr>
        <w:t>ns.  Le</w:t>
      </w:r>
      <w:r w:rsidRPr="003A2EDF">
        <w:rPr>
          <w:lang w:val="fr-FR"/>
        </w:rPr>
        <w:t>s offices de propriété intellectuelle ont récemment fait part de leur intérêt pour ce thè</w:t>
      </w:r>
      <w:r w:rsidR="003A2EDF" w:rsidRPr="003A2EDF">
        <w:rPr>
          <w:lang w:val="fr-FR"/>
        </w:rPr>
        <w:t>me.  Si</w:t>
      </w:r>
      <w:r w:rsidRPr="003A2EDF">
        <w:rPr>
          <w:lang w:val="fr-FR"/>
        </w:rPr>
        <w:t xml:space="preserve"> le CWS accepte cette proposition, alors la mise à jour de la partie 7.9 pourra être intégrée dans le calendrier proposé.</w:t>
      </w:r>
    </w:p>
    <w:p w:rsidR="00025EF5" w:rsidRPr="003A2EDF" w:rsidRDefault="00025EF5" w:rsidP="001B0829">
      <w:pPr>
        <w:pStyle w:val="Heading3"/>
        <w:rPr>
          <w:lang w:val="fr-FR"/>
        </w:rPr>
      </w:pPr>
      <w:r w:rsidRPr="003A2EDF">
        <w:rPr>
          <w:lang w:val="fr-FR"/>
        </w:rPr>
        <w:t>Action en suspens</w:t>
      </w:r>
    </w:p>
    <w:tbl>
      <w:tblPr>
        <w:tblStyle w:val="TableGrid"/>
        <w:tblW w:w="899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3543"/>
        <w:gridCol w:w="1418"/>
        <w:gridCol w:w="2479"/>
      </w:tblGrid>
      <w:tr w:rsidR="00025EF5" w:rsidRPr="003A2EDF" w:rsidTr="007648C3">
        <w:tc>
          <w:tcPr>
            <w:tcW w:w="1555" w:type="dxa"/>
            <w:shd w:val="clear" w:color="auto" w:fill="D9D9D9" w:themeFill="background1" w:themeFillShade="D9"/>
          </w:tcPr>
          <w:p w:rsidR="00025EF5" w:rsidRPr="003A2EDF" w:rsidRDefault="00025EF5" w:rsidP="001B0829">
            <w:pPr>
              <w:spacing w:after="60"/>
              <w:rPr>
                <w:b/>
              </w:rPr>
            </w:pPr>
            <w:r w:rsidRPr="003A2EDF">
              <w:rPr>
                <w:b/>
              </w:rPr>
              <w:t>Section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025EF5" w:rsidRPr="003A2EDF" w:rsidRDefault="00025EF5" w:rsidP="001B0829">
            <w:pPr>
              <w:spacing w:after="60"/>
              <w:rPr>
                <w:b/>
              </w:rPr>
            </w:pPr>
            <w:r w:rsidRPr="003A2EDF">
              <w:rPr>
                <w:b/>
              </w:rPr>
              <w:t>Thème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25EF5" w:rsidRPr="003A2EDF" w:rsidRDefault="007648C3" w:rsidP="001B0829">
            <w:pPr>
              <w:spacing w:after="60"/>
              <w:jc w:val="center"/>
              <w:rPr>
                <w:b/>
              </w:rPr>
            </w:pPr>
            <w:r w:rsidRPr="003A2EDF">
              <w:rPr>
                <w:b/>
              </w:rPr>
              <w:t>Dernière p</w:t>
            </w:r>
            <w:r w:rsidR="00025EF5" w:rsidRPr="003A2EDF">
              <w:rPr>
                <w:b/>
              </w:rPr>
              <w:t>ub</w:t>
            </w:r>
            <w:r w:rsidRPr="003A2EDF">
              <w:rPr>
                <w:b/>
              </w:rPr>
              <w:t>lication</w:t>
            </w:r>
          </w:p>
        </w:tc>
        <w:tc>
          <w:tcPr>
            <w:tcW w:w="2479" w:type="dxa"/>
            <w:shd w:val="clear" w:color="auto" w:fill="D9D9D9" w:themeFill="background1" w:themeFillShade="D9"/>
          </w:tcPr>
          <w:p w:rsidR="00025EF5" w:rsidRPr="003A2EDF" w:rsidRDefault="00025EF5" w:rsidP="001B0829">
            <w:pPr>
              <w:spacing w:after="60"/>
              <w:jc w:val="center"/>
              <w:rPr>
                <w:b/>
              </w:rPr>
            </w:pPr>
            <w:r w:rsidRPr="003A2EDF">
              <w:rPr>
                <w:b/>
              </w:rPr>
              <w:t>Situation</w:t>
            </w:r>
          </w:p>
        </w:tc>
      </w:tr>
      <w:tr w:rsidR="00025EF5" w:rsidRPr="003A2EDF" w:rsidTr="007648C3">
        <w:tc>
          <w:tcPr>
            <w:tcW w:w="1555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Partie 7.1</w:t>
            </w:r>
          </w:p>
        </w:tc>
        <w:tc>
          <w:tcPr>
            <w:tcW w:w="3543" w:type="dxa"/>
          </w:tcPr>
          <w:p w:rsidR="00025EF5" w:rsidRPr="003A2EDF" w:rsidRDefault="00025EF5" w:rsidP="001B0829">
            <w:pPr>
              <w:spacing w:after="60"/>
            </w:pPr>
            <w:r w:rsidRPr="003A2EDF">
              <w:t>Modes d</w:t>
            </w:r>
            <w:r w:rsidR="00D81F4F" w:rsidRPr="003A2EDF">
              <w:t>’</w:t>
            </w:r>
            <w:r w:rsidRPr="003A2EDF">
              <w:t>indication des dates</w:t>
            </w:r>
          </w:p>
        </w:tc>
        <w:tc>
          <w:tcPr>
            <w:tcW w:w="1418" w:type="dxa"/>
            <w:shd w:val="clear" w:color="auto" w:fill="auto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1997</w:t>
            </w:r>
          </w:p>
        </w:tc>
        <w:tc>
          <w:tcPr>
            <w:tcW w:w="2479" w:type="dxa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mise à jour 2022</w:t>
            </w:r>
          </w:p>
        </w:tc>
      </w:tr>
      <w:tr w:rsidR="00025EF5" w:rsidRPr="003A2EDF" w:rsidTr="007648C3">
        <w:tc>
          <w:tcPr>
            <w:tcW w:w="1555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Partie 7.2.3</w:t>
            </w:r>
          </w:p>
        </w:tc>
        <w:tc>
          <w:tcPr>
            <w:tcW w:w="3543" w:type="dxa"/>
          </w:tcPr>
          <w:p w:rsidR="00025EF5" w:rsidRPr="003A2EDF" w:rsidRDefault="00025EF5" w:rsidP="001B0829">
            <w:pPr>
              <w:spacing w:after="60"/>
            </w:pPr>
            <w:r w:rsidRPr="003A2EDF">
              <w:t>Systèmes de numérotation et configurations pour indiquer les dates compte tenu du passage à l</w:t>
            </w:r>
            <w:r w:rsidR="00D81F4F" w:rsidRPr="003A2EDF">
              <w:t>’</w:t>
            </w:r>
            <w:r w:rsidRPr="003A2EDF">
              <w:t>an 2000</w:t>
            </w:r>
          </w:p>
        </w:tc>
        <w:tc>
          <w:tcPr>
            <w:tcW w:w="1418" w:type="dxa"/>
            <w:shd w:val="clear" w:color="auto" w:fill="auto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2000</w:t>
            </w:r>
          </w:p>
        </w:tc>
        <w:tc>
          <w:tcPr>
            <w:tcW w:w="2479" w:type="dxa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prête pour l</w:t>
            </w:r>
            <w:r w:rsidR="00D81F4F" w:rsidRPr="003A2EDF">
              <w:t>’</w:t>
            </w:r>
            <w:r w:rsidRPr="003A2EDF">
              <w:t>archivage</w:t>
            </w:r>
          </w:p>
        </w:tc>
      </w:tr>
      <w:tr w:rsidR="00025EF5" w:rsidRPr="003A2EDF" w:rsidTr="007648C3">
        <w:tc>
          <w:tcPr>
            <w:tcW w:w="1555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Partie 7.2.6</w:t>
            </w:r>
          </w:p>
        </w:tc>
        <w:tc>
          <w:tcPr>
            <w:tcW w:w="3543" w:type="dxa"/>
          </w:tcPr>
          <w:p w:rsidR="00025EF5" w:rsidRPr="003A2EDF" w:rsidRDefault="00025EF5" w:rsidP="001B0829">
            <w:pPr>
              <w:spacing w:after="60"/>
            </w:pPr>
            <w:r w:rsidRPr="003A2EDF">
              <w:t>Numérotation des demandes et des demandes établissant une priorité – pratique actuelle</w:t>
            </w:r>
          </w:p>
        </w:tc>
        <w:tc>
          <w:tcPr>
            <w:tcW w:w="1418" w:type="dxa"/>
            <w:shd w:val="clear" w:color="auto" w:fill="auto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2017</w:t>
            </w:r>
          </w:p>
        </w:tc>
        <w:tc>
          <w:tcPr>
            <w:tcW w:w="2479" w:type="dxa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mise à jour 2024</w:t>
            </w:r>
          </w:p>
        </w:tc>
      </w:tr>
      <w:tr w:rsidR="00025EF5" w:rsidRPr="003A2EDF" w:rsidTr="007648C3">
        <w:tc>
          <w:tcPr>
            <w:tcW w:w="1555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Partie 7.2.7</w:t>
            </w:r>
          </w:p>
        </w:tc>
        <w:tc>
          <w:tcPr>
            <w:tcW w:w="3543" w:type="dxa"/>
          </w:tcPr>
          <w:p w:rsidR="00025EF5" w:rsidRPr="003A2EDF" w:rsidRDefault="00025EF5" w:rsidP="001B0829">
            <w:pPr>
              <w:spacing w:after="60"/>
            </w:pPr>
            <w:r w:rsidRPr="003A2EDF">
              <w:t>Numérotation des demandes et des demandes établissant une priorité – pratiques antérieures</w:t>
            </w:r>
          </w:p>
        </w:tc>
        <w:tc>
          <w:tcPr>
            <w:tcW w:w="1418" w:type="dxa"/>
            <w:shd w:val="clear" w:color="auto" w:fill="auto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2017</w:t>
            </w:r>
          </w:p>
        </w:tc>
        <w:tc>
          <w:tcPr>
            <w:tcW w:w="2479" w:type="dxa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mise à jour 2024</w:t>
            </w:r>
          </w:p>
        </w:tc>
      </w:tr>
      <w:tr w:rsidR="00025EF5" w:rsidRPr="003A2EDF" w:rsidTr="007648C3">
        <w:tc>
          <w:tcPr>
            <w:tcW w:w="1555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Partie 7.3</w:t>
            </w:r>
          </w:p>
        </w:tc>
        <w:tc>
          <w:tcPr>
            <w:tcW w:w="3543" w:type="dxa"/>
          </w:tcPr>
          <w:p w:rsidR="00025EF5" w:rsidRPr="003A2EDF" w:rsidRDefault="00025EF5" w:rsidP="001B0829">
            <w:pPr>
              <w:spacing w:after="60"/>
            </w:pPr>
            <w:r w:rsidRPr="003A2EDF">
              <w:t>Exemples et types de documents de brevet</w:t>
            </w:r>
          </w:p>
        </w:tc>
        <w:tc>
          <w:tcPr>
            <w:tcW w:w="1418" w:type="dxa"/>
            <w:shd w:val="clear" w:color="auto" w:fill="auto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2016</w:t>
            </w:r>
          </w:p>
        </w:tc>
        <w:tc>
          <w:tcPr>
            <w:tcW w:w="2479" w:type="dxa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mise à jour 2025</w:t>
            </w:r>
          </w:p>
        </w:tc>
      </w:tr>
      <w:tr w:rsidR="00025EF5" w:rsidRPr="003A2EDF" w:rsidTr="007648C3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Partie 7.6</w:t>
            </w:r>
          </w:p>
        </w:tc>
        <w:tc>
          <w:tcPr>
            <w:tcW w:w="3543" w:type="dxa"/>
          </w:tcPr>
          <w:p w:rsidR="00025EF5" w:rsidRPr="003A2EDF" w:rsidRDefault="00025EF5" w:rsidP="001B0829">
            <w:pPr>
              <w:spacing w:after="60"/>
            </w:pPr>
            <w:r w:rsidRPr="003A2EDF">
              <w:t>Répertoire des informations bibliographiques contenues dans les bulletins de brevets</w:t>
            </w:r>
          </w:p>
        </w:tc>
        <w:tc>
          <w:tcPr>
            <w:tcW w:w="1418" w:type="dxa"/>
            <w:shd w:val="clear" w:color="auto" w:fill="auto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1990</w:t>
            </w:r>
          </w:p>
        </w:tc>
        <w:tc>
          <w:tcPr>
            <w:tcW w:w="2479" w:type="dxa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mise à jour 2023</w:t>
            </w:r>
          </w:p>
        </w:tc>
      </w:tr>
    </w:tbl>
    <w:p w:rsidR="00025EF5" w:rsidRPr="003A2EDF" w:rsidRDefault="00025EF5" w:rsidP="001B0829">
      <w:pPr>
        <w:pStyle w:val="Heading3"/>
        <w:rPr>
          <w:lang w:val="fr-FR"/>
        </w:rPr>
      </w:pPr>
      <w:r w:rsidRPr="003A2EDF">
        <w:rPr>
          <w:lang w:val="fr-FR"/>
        </w:rPr>
        <w:t>Aucune action en suspens</w:t>
      </w:r>
    </w:p>
    <w:tbl>
      <w:tblPr>
        <w:tblStyle w:val="TableGrid"/>
        <w:tblW w:w="899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3570"/>
        <w:gridCol w:w="1391"/>
        <w:gridCol w:w="2479"/>
      </w:tblGrid>
      <w:tr w:rsidR="00025EF5" w:rsidRPr="003A2EDF" w:rsidTr="007648C3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:rsidR="00025EF5" w:rsidRPr="003A2EDF" w:rsidRDefault="00025EF5" w:rsidP="001B0829">
            <w:pPr>
              <w:spacing w:after="60"/>
              <w:rPr>
                <w:b/>
              </w:rPr>
            </w:pPr>
            <w:r w:rsidRPr="003A2EDF">
              <w:rPr>
                <w:b/>
              </w:rPr>
              <w:t>Section</w:t>
            </w:r>
          </w:p>
        </w:tc>
        <w:tc>
          <w:tcPr>
            <w:tcW w:w="3570" w:type="dxa"/>
            <w:shd w:val="clear" w:color="auto" w:fill="D9D9D9" w:themeFill="background1" w:themeFillShade="D9"/>
          </w:tcPr>
          <w:p w:rsidR="00025EF5" w:rsidRPr="003A2EDF" w:rsidRDefault="00025EF5" w:rsidP="001B0829">
            <w:pPr>
              <w:spacing w:after="60"/>
              <w:rPr>
                <w:b/>
              </w:rPr>
            </w:pPr>
            <w:r w:rsidRPr="003A2EDF">
              <w:rPr>
                <w:b/>
              </w:rPr>
              <w:t>Thème</w:t>
            </w:r>
          </w:p>
        </w:tc>
        <w:tc>
          <w:tcPr>
            <w:tcW w:w="1391" w:type="dxa"/>
            <w:shd w:val="clear" w:color="auto" w:fill="D9D9D9" w:themeFill="background1" w:themeFillShade="D9"/>
          </w:tcPr>
          <w:p w:rsidR="00025EF5" w:rsidRPr="003A2EDF" w:rsidRDefault="007648C3" w:rsidP="001B0829">
            <w:pPr>
              <w:spacing w:after="60"/>
              <w:jc w:val="center"/>
              <w:rPr>
                <w:b/>
              </w:rPr>
            </w:pPr>
            <w:r w:rsidRPr="003A2EDF">
              <w:rPr>
                <w:b/>
              </w:rPr>
              <w:t>Dernière publication</w:t>
            </w:r>
          </w:p>
        </w:tc>
        <w:tc>
          <w:tcPr>
            <w:tcW w:w="2479" w:type="dxa"/>
            <w:shd w:val="clear" w:color="auto" w:fill="D9D9D9" w:themeFill="background1" w:themeFillShade="D9"/>
          </w:tcPr>
          <w:p w:rsidR="00025EF5" w:rsidRPr="003A2EDF" w:rsidRDefault="00025EF5" w:rsidP="001B0829">
            <w:pPr>
              <w:spacing w:after="60"/>
              <w:jc w:val="center"/>
              <w:rPr>
                <w:b/>
              </w:rPr>
            </w:pPr>
            <w:r w:rsidRPr="003A2EDF">
              <w:rPr>
                <w:b/>
              </w:rPr>
              <w:t>Situation</w:t>
            </w:r>
          </w:p>
        </w:tc>
      </w:tr>
      <w:tr w:rsidR="00025EF5" w:rsidRPr="003A2EDF" w:rsidTr="007648C3">
        <w:tc>
          <w:tcPr>
            <w:tcW w:w="1555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Partie 7.2.1</w:t>
            </w:r>
          </w:p>
        </w:tc>
        <w:tc>
          <w:tcPr>
            <w:tcW w:w="3570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Présentation des numéros de demandes</w:t>
            </w:r>
          </w:p>
        </w:tc>
        <w:tc>
          <w:tcPr>
            <w:tcW w:w="139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archivée</w:t>
            </w:r>
          </w:p>
        </w:tc>
        <w:tc>
          <w:tcPr>
            <w:tcW w:w="2479" w:type="dxa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terminée</w:t>
            </w:r>
          </w:p>
        </w:tc>
      </w:tr>
      <w:tr w:rsidR="00025EF5" w:rsidRPr="003A2EDF" w:rsidTr="007648C3">
        <w:tc>
          <w:tcPr>
            <w:tcW w:w="1555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Partie 7.2.2</w:t>
            </w:r>
          </w:p>
        </w:tc>
        <w:tc>
          <w:tcPr>
            <w:tcW w:w="3570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Inventaire des systèmes de numérotation en ce qui concerne les demandes, les documents publiés et les titres enregistrés</w:t>
            </w:r>
          </w:p>
        </w:tc>
        <w:tc>
          <w:tcPr>
            <w:tcW w:w="139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jc w:val="center"/>
              <w:rPr>
                <w:spacing w:val="-2"/>
              </w:rPr>
            </w:pPr>
            <w:r w:rsidRPr="003A2EDF">
              <w:t>2021</w:t>
            </w:r>
          </w:p>
        </w:tc>
        <w:tc>
          <w:tcPr>
            <w:tcW w:w="2479" w:type="dxa"/>
          </w:tcPr>
          <w:p w:rsidR="00025EF5" w:rsidRPr="003A2EDF" w:rsidRDefault="00025EF5" w:rsidP="001B0829">
            <w:pPr>
              <w:spacing w:after="60"/>
              <w:jc w:val="center"/>
              <w:rPr>
                <w:spacing w:val="-2"/>
              </w:rPr>
            </w:pPr>
            <w:r w:rsidRPr="003A2EDF">
              <w:t>terminée</w:t>
            </w:r>
          </w:p>
        </w:tc>
      </w:tr>
      <w:tr w:rsidR="00025EF5" w:rsidRPr="003A2EDF" w:rsidTr="007648C3">
        <w:tc>
          <w:tcPr>
            <w:tcW w:w="1555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Partie 7.2.4</w:t>
            </w:r>
          </w:p>
        </w:tc>
        <w:tc>
          <w:tcPr>
            <w:tcW w:w="3570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Présentation des numéros des demandes établissant une priorité</w:t>
            </w:r>
          </w:p>
        </w:tc>
        <w:tc>
          <w:tcPr>
            <w:tcW w:w="139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2018</w:t>
            </w:r>
          </w:p>
        </w:tc>
        <w:tc>
          <w:tcPr>
            <w:tcW w:w="2479" w:type="dxa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terminée</w:t>
            </w:r>
          </w:p>
        </w:tc>
      </w:tr>
      <w:tr w:rsidR="00025EF5" w:rsidRPr="003A2EDF" w:rsidTr="007648C3">
        <w:tc>
          <w:tcPr>
            <w:tcW w:w="1555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Partie 7.4</w:t>
            </w:r>
          </w:p>
        </w:tc>
        <w:tc>
          <w:tcPr>
            <w:tcW w:w="3570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Procédures de correction dans les offices de brevets</w:t>
            </w:r>
          </w:p>
        </w:tc>
        <w:tc>
          <w:tcPr>
            <w:tcW w:w="139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2009</w:t>
            </w:r>
          </w:p>
        </w:tc>
        <w:tc>
          <w:tcPr>
            <w:tcW w:w="2479" w:type="dxa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à la demande</w:t>
            </w:r>
          </w:p>
        </w:tc>
      </w:tr>
      <w:tr w:rsidR="00025EF5" w:rsidRPr="003A2EDF" w:rsidTr="007648C3"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lastRenderedPageBreak/>
              <w:t>Partie 7.5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:rsidR="00025EF5" w:rsidRPr="003A2EDF" w:rsidRDefault="00025EF5" w:rsidP="001B0829">
            <w:pPr>
              <w:spacing w:after="60"/>
            </w:pPr>
            <w:r w:rsidRPr="003A2EDF">
              <w:t>Caractéristiques matérielles des documents de brevet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archivée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terminée</w:t>
            </w:r>
          </w:p>
        </w:tc>
      </w:tr>
      <w:tr w:rsidR="00025EF5" w:rsidRPr="003A2EDF" w:rsidTr="007648C3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Partie 7.7</w:t>
            </w:r>
          </w:p>
        </w:tc>
        <w:tc>
          <w:tcPr>
            <w:tcW w:w="3570" w:type="dxa"/>
          </w:tcPr>
          <w:p w:rsidR="00025EF5" w:rsidRPr="003A2EDF" w:rsidRDefault="00025EF5" w:rsidP="001B0829">
            <w:pPr>
              <w:spacing w:after="60"/>
              <w:rPr>
                <w:spacing w:val="-2"/>
              </w:rPr>
            </w:pPr>
            <w:r w:rsidRPr="003A2EDF">
              <w:t>Étude concernant la délivrance et la publication des certificats complémentaires de protection</w:t>
            </w:r>
          </w:p>
        </w:tc>
        <w:tc>
          <w:tcPr>
            <w:tcW w:w="139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jc w:val="center"/>
              <w:rPr>
                <w:spacing w:val="-2"/>
              </w:rPr>
            </w:pPr>
            <w:r w:rsidRPr="003A2EDF">
              <w:t>2019</w:t>
            </w:r>
          </w:p>
        </w:tc>
        <w:tc>
          <w:tcPr>
            <w:tcW w:w="2479" w:type="dxa"/>
          </w:tcPr>
          <w:p w:rsidR="00025EF5" w:rsidRPr="003A2EDF" w:rsidRDefault="00025EF5" w:rsidP="001B0829">
            <w:pPr>
              <w:spacing w:after="60"/>
              <w:jc w:val="center"/>
              <w:rPr>
                <w:spacing w:val="-2"/>
              </w:rPr>
            </w:pPr>
            <w:r w:rsidRPr="003A2EDF">
              <w:t>terminée</w:t>
            </w:r>
          </w:p>
        </w:tc>
      </w:tr>
      <w:tr w:rsidR="00025EF5" w:rsidRPr="003A2EDF" w:rsidTr="007648C3"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Partie 7.8</w:t>
            </w:r>
          </w:p>
        </w:tc>
        <w:tc>
          <w:tcPr>
            <w:tcW w:w="3570" w:type="dxa"/>
          </w:tcPr>
          <w:p w:rsidR="00025EF5" w:rsidRPr="003A2EDF" w:rsidRDefault="00025EF5" w:rsidP="001B0829">
            <w:pPr>
              <w:spacing w:after="60"/>
            </w:pPr>
            <w:r w:rsidRPr="003A2EDF">
              <w:t>Procédures et exigences en ce qui concerne les dessins et modèles industriels</w:t>
            </w:r>
          </w:p>
        </w:tc>
        <w:tc>
          <w:tcPr>
            <w:tcW w:w="139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archivée</w:t>
            </w:r>
          </w:p>
        </w:tc>
        <w:tc>
          <w:tcPr>
            <w:tcW w:w="2479" w:type="dxa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terminée</w:t>
            </w:r>
          </w:p>
        </w:tc>
      </w:tr>
      <w:tr w:rsidR="00025EF5" w:rsidRPr="003A2EDF" w:rsidTr="007648C3">
        <w:tc>
          <w:tcPr>
            <w:tcW w:w="1555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Partie 7.9</w:t>
            </w:r>
          </w:p>
        </w:tc>
        <w:tc>
          <w:tcPr>
            <w:tcW w:w="3570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Pratiques en matière de citations</w:t>
            </w:r>
          </w:p>
        </w:tc>
        <w:tc>
          <w:tcPr>
            <w:tcW w:w="139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2008</w:t>
            </w:r>
          </w:p>
        </w:tc>
        <w:tc>
          <w:tcPr>
            <w:tcW w:w="2479" w:type="dxa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à la demande</w:t>
            </w:r>
          </w:p>
        </w:tc>
      </w:tr>
      <w:tr w:rsidR="00025EF5" w:rsidRPr="003A2EDF" w:rsidTr="007648C3">
        <w:tc>
          <w:tcPr>
            <w:tcW w:w="1555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Partie 7.10</w:t>
            </w:r>
          </w:p>
        </w:tc>
        <w:tc>
          <w:tcPr>
            <w:tcW w:w="3570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Codes utilisés en interne</w:t>
            </w:r>
          </w:p>
        </w:tc>
        <w:tc>
          <w:tcPr>
            <w:tcW w:w="139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2009</w:t>
            </w:r>
          </w:p>
        </w:tc>
        <w:tc>
          <w:tcPr>
            <w:tcW w:w="2479" w:type="dxa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à la demande</w:t>
            </w:r>
          </w:p>
        </w:tc>
      </w:tr>
      <w:tr w:rsidR="00025EF5" w:rsidRPr="003A2EDF" w:rsidTr="007648C3">
        <w:tc>
          <w:tcPr>
            <w:tcW w:w="1555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Partie 7.11</w:t>
            </w:r>
          </w:p>
        </w:tc>
        <w:tc>
          <w:tcPr>
            <w:tcW w:w="3570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Mise en œuvre de la norme</w:t>
            </w:r>
            <w:r w:rsidR="00F2092A" w:rsidRPr="003A2EDF">
              <w:t> </w:t>
            </w:r>
            <w:r w:rsidRPr="003A2EDF">
              <w:t>ST.22 de l</w:t>
            </w:r>
            <w:r w:rsidR="00D81F4F" w:rsidRPr="003A2EDF">
              <w:t>’</w:t>
            </w:r>
            <w:r w:rsidRPr="003A2EDF">
              <w:t>OMPI pour</w:t>
            </w:r>
            <w:r w:rsidR="00D81F4F" w:rsidRPr="003A2EDF">
              <w:t xml:space="preserve"> la ROC</w:t>
            </w:r>
          </w:p>
        </w:tc>
        <w:tc>
          <w:tcPr>
            <w:tcW w:w="139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2012</w:t>
            </w:r>
          </w:p>
        </w:tc>
        <w:tc>
          <w:tcPr>
            <w:tcW w:w="2479" w:type="dxa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à la demande</w:t>
            </w:r>
          </w:p>
        </w:tc>
      </w:tr>
      <w:tr w:rsidR="00025EF5" w:rsidRPr="003A2EDF" w:rsidTr="007648C3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Partie 7.12</w:t>
            </w:r>
          </w:p>
        </w:tc>
        <w:tc>
          <w:tcPr>
            <w:tcW w:w="3570" w:type="dxa"/>
            <w:shd w:val="clear" w:color="auto" w:fill="auto"/>
          </w:tcPr>
          <w:p w:rsidR="00025EF5" w:rsidRPr="003A2EDF" w:rsidRDefault="00025EF5" w:rsidP="001B0829">
            <w:pPr>
              <w:spacing w:after="60"/>
            </w:pPr>
            <w:r w:rsidRPr="003A2EDF">
              <w:t>Utilisation des normes de l</w:t>
            </w:r>
            <w:r w:rsidR="00D81F4F" w:rsidRPr="003A2EDF">
              <w:t>’</w:t>
            </w:r>
            <w:r w:rsidRPr="003A2EDF">
              <w:t>OMPI</w:t>
            </w:r>
          </w:p>
        </w:tc>
        <w:tc>
          <w:tcPr>
            <w:tcW w:w="139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2018</w:t>
            </w:r>
          </w:p>
        </w:tc>
        <w:tc>
          <w:tcPr>
            <w:tcW w:w="2479" w:type="dxa"/>
          </w:tcPr>
          <w:p w:rsidR="00025EF5" w:rsidRPr="003A2EDF" w:rsidRDefault="00025EF5" w:rsidP="001B0829">
            <w:pPr>
              <w:spacing w:after="60"/>
              <w:jc w:val="center"/>
            </w:pPr>
            <w:r w:rsidRPr="003A2EDF">
              <w:t>à la demande</w:t>
            </w:r>
          </w:p>
        </w:tc>
      </w:tr>
    </w:tbl>
    <w:p w:rsidR="00025EF5" w:rsidRPr="003A2EDF" w:rsidRDefault="00025EF5" w:rsidP="001B0829">
      <w:pPr>
        <w:pStyle w:val="Heading2"/>
        <w:rPr>
          <w:lang w:val="fr-FR"/>
        </w:rPr>
      </w:pPr>
      <w:r w:rsidRPr="003A2EDF">
        <w:rPr>
          <w:lang w:val="fr-FR"/>
        </w:rPr>
        <w:t>Proposition de mise à jour pour le processus de publication</w:t>
      </w:r>
    </w:p>
    <w:p w:rsidR="00025EF5" w:rsidRPr="003A2EDF" w:rsidRDefault="00025EF5" w:rsidP="001B0829">
      <w:pPr>
        <w:pStyle w:val="ONUMFS"/>
        <w:rPr>
          <w:lang w:val="fr-FR"/>
        </w:rPr>
      </w:pPr>
      <w:r w:rsidRPr="003A2EDF">
        <w:rPr>
          <w:lang w:val="fr-FR"/>
        </w:rPr>
        <w:t>Le Bureau international propose que la procédure pour toutes les enquêtes du CWS (</w:t>
      </w:r>
      <w:r w:rsidR="00D81F4F" w:rsidRPr="003A2EDF">
        <w:rPr>
          <w:lang w:val="fr-FR"/>
        </w:rPr>
        <w:t>y compris</w:t>
      </w:r>
      <w:r w:rsidRPr="003A2EDF">
        <w:rPr>
          <w:lang w:val="fr-FR"/>
        </w:rPr>
        <w:t xml:space="preserve"> les nouvelles enquêtes) soit modifiée de la manière suivante</w:t>
      </w:r>
      <w:r w:rsidR="00D81F4F" w:rsidRPr="003A2EDF">
        <w:rPr>
          <w:lang w:val="fr-FR"/>
        </w:rPr>
        <w:t> :</w:t>
      </w:r>
    </w:p>
    <w:p w:rsidR="00025EF5" w:rsidRPr="003A2EDF" w:rsidRDefault="00025EF5" w:rsidP="001B0829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3A2EDF">
        <w:rPr>
          <w:lang w:val="fr-FR"/>
        </w:rPr>
        <w:t>Une fois que les réponses aux enquêtes sont disponibles, le Bureau international publiera les réponses individuelles ainsi que la synthèse des répons</w:t>
      </w:r>
      <w:r w:rsidR="003A2EDF" w:rsidRPr="003A2EDF">
        <w:rPr>
          <w:lang w:val="fr-FR"/>
        </w:rPr>
        <w:t>es.  Pu</w:t>
      </w:r>
      <w:r w:rsidRPr="003A2EDF">
        <w:rPr>
          <w:lang w:val="fr-FR"/>
        </w:rPr>
        <w:t>is, à la session suivante du CWS,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analyse de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enquête sera présentée pour approbati</w:t>
      </w:r>
      <w:r w:rsidR="003A2EDF" w:rsidRPr="003A2EDF">
        <w:rPr>
          <w:lang w:val="fr-FR"/>
        </w:rPr>
        <w:t>on.  Si</w:t>
      </w:r>
      <w:r w:rsidRPr="003A2EDF">
        <w:rPr>
          <w:lang w:val="fr-FR"/>
        </w:rPr>
        <w:t xml:space="preserve"> elle est approuvée,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analyse sera publiée après la tenue du CWS, de concert avec les réponses déjà publiées.  À titre exceptionnel, le CWS peut demander que la publication des réponses à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enquête soit retardée pour une enquête donnée jusqu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à ce que le CWS approuve tous les documents.</w:t>
      </w:r>
    </w:p>
    <w:p w:rsidR="00025EF5" w:rsidRPr="003A2EDF" w:rsidRDefault="00025EF5" w:rsidP="001B0829">
      <w:pPr>
        <w:pStyle w:val="ONUMFS"/>
        <w:rPr>
          <w:lang w:val="fr-FR"/>
        </w:rPr>
      </w:pPr>
      <w:r w:rsidRPr="003A2EDF">
        <w:rPr>
          <w:lang w:val="fr-FR"/>
        </w:rPr>
        <w:t>Cette modification est proposée parce que le fait de soumettre les réponses aux enquêtes à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approbation du comité engendre plusieurs effets négati</w:t>
      </w:r>
      <w:r w:rsidR="003A2EDF" w:rsidRPr="003A2EDF">
        <w:rPr>
          <w:lang w:val="fr-FR"/>
        </w:rPr>
        <w:t>fs.  Le</w:t>
      </w:r>
      <w:r w:rsidRPr="003A2EDF">
        <w:rPr>
          <w:lang w:val="fr-FR"/>
        </w:rPr>
        <w:t xml:space="preserve"> report de la publication jusqu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à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obtention de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approbation du CWS fait que les utilisateurs ne peuvent pas avoir accès aux résultats de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enquête durant de nombreux mois et qu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entre temps, ils doivent s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en remettre à des informations obsolètes ou à aucune information du to</w:t>
      </w:r>
      <w:r w:rsidR="003A2EDF" w:rsidRPr="003A2EDF">
        <w:rPr>
          <w:lang w:val="fr-FR"/>
        </w:rPr>
        <w:t>ut.  L’a</w:t>
      </w:r>
      <w:r w:rsidRPr="003A2EDF">
        <w:rPr>
          <w:lang w:val="fr-FR"/>
        </w:rPr>
        <w:t>pprobation des réponses est essentiellement un exercice de pure forme</w:t>
      </w:r>
      <w:r w:rsidR="00D81F4F" w:rsidRPr="003A2EDF">
        <w:rPr>
          <w:lang w:val="fr-FR"/>
        </w:rPr>
        <w:t> :</w:t>
      </w:r>
      <w:r w:rsidRPr="003A2EDF">
        <w:rPr>
          <w:lang w:val="fr-FR"/>
        </w:rPr>
        <w:t xml:space="preserve"> le contenu des réponses n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est pas modifié par le CWS, puisque les enquêtes collectent des informations que chaque office de propriété intellectuelle a déjà approuvées aux fins de les rendre accessibles au publ</w:t>
      </w:r>
      <w:r w:rsidR="003A2EDF" w:rsidRPr="003A2EDF">
        <w:rPr>
          <w:lang w:val="fr-FR"/>
        </w:rPr>
        <w:t>ic.  Le</w:t>
      </w:r>
      <w:r w:rsidRPr="003A2EDF">
        <w:rPr>
          <w:lang w:val="fr-FR"/>
        </w:rPr>
        <w:t xml:space="preserve"> but de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approbation des réponses par le CWS n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est donc pas très cla</w:t>
      </w:r>
      <w:r w:rsidR="003A2EDF" w:rsidRPr="003A2EDF">
        <w:rPr>
          <w:lang w:val="fr-FR"/>
        </w:rPr>
        <w:t>ir.  Po</w:t>
      </w:r>
      <w:r w:rsidRPr="003A2EDF">
        <w:rPr>
          <w:lang w:val="fr-FR"/>
        </w:rPr>
        <w:t>ur ce qui est de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analyse des enquêtes, la situation est différente puisque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analyse peut impliquer une interprétation ou de tirer des conclusions des informations communiquées dans les répons</w:t>
      </w:r>
      <w:r w:rsidR="003A2EDF" w:rsidRPr="003A2EDF">
        <w:rPr>
          <w:lang w:val="fr-FR"/>
        </w:rPr>
        <w:t>es.  Il</w:t>
      </w:r>
      <w:r w:rsidRPr="003A2EDF">
        <w:rPr>
          <w:lang w:val="fr-FR"/>
        </w:rPr>
        <w:t xml:space="preserve"> est donc logique de présenter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analyse de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enquête au CWS pour approbation, conformément à la pratique actuelle.</w:t>
      </w:r>
    </w:p>
    <w:p w:rsidR="00025EF5" w:rsidRPr="003A2EDF" w:rsidRDefault="00025EF5" w:rsidP="001B0829">
      <w:pPr>
        <w:pStyle w:val="ONUMFS"/>
        <w:rPr>
          <w:lang w:val="fr-FR"/>
        </w:rPr>
      </w:pPr>
      <w:r w:rsidRPr="003A2EDF">
        <w:rPr>
          <w:lang w:val="fr-FR"/>
        </w:rPr>
        <w:t>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un des principaux objectifs des enquêtes du CWS est de rendre les opinions et les pratiques des offices de propriété intellectuelle plus visibles, tant pour le CWS en vue de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établissement de normes que pour le publ</w:t>
      </w:r>
      <w:r w:rsidR="003A2EDF" w:rsidRPr="003A2EDF">
        <w:rPr>
          <w:lang w:val="fr-FR"/>
        </w:rPr>
        <w:t>ic.  Le</w:t>
      </w:r>
      <w:r w:rsidRPr="003A2EDF">
        <w:rPr>
          <w:lang w:val="fr-FR"/>
        </w:rPr>
        <w:t>s informations contenues dans les enquêtes du CWS sont essentiellement techniques et factuell</w:t>
      </w:r>
      <w:r w:rsidR="003A2EDF" w:rsidRPr="003A2EDF">
        <w:rPr>
          <w:lang w:val="fr-FR"/>
        </w:rPr>
        <w:t>es.  La</w:t>
      </w:r>
      <w:r w:rsidRPr="003A2EDF">
        <w:rPr>
          <w:lang w:val="fr-FR"/>
        </w:rPr>
        <w:t xml:space="preserve"> pratique générale devrait consister à publier les réponses aux enquêtes dès qu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elles sont prêtes, plutôt que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introduire des retards inutiles dans le process</w:t>
      </w:r>
      <w:r w:rsidR="003A2EDF" w:rsidRPr="003A2EDF">
        <w:rPr>
          <w:lang w:val="fr-FR"/>
        </w:rPr>
        <w:t>us.  Si</w:t>
      </w:r>
      <w:r w:rsidRPr="003A2EDF">
        <w:rPr>
          <w:lang w:val="fr-FR"/>
        </w:rPr>
        <w:t xml:space="preserve"> le CWS considère qu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 xml:space="preserve">une enquête particulière peut contenir des </w:t>
      </w:r>
      <w:r w:rsidRPr="003A2EDF">
        <w:rPr>
          <w:lang w:val="fr-FR"/>
        </w:rPr>
        <w:lastRenderedPageBreak/>
        <w:t>réponses sensibles, alors il peut demander que les réponses à cette enquête donnée soient présentées au CWS pour approbation avant publication.</w:t>
      </w:r>
    </w:p>
    <w:p w:rsidR="00D81F4F" w:rsidRPr="003A2EDF" w:rsidRDefault="00025EF5" w:rsidP="001B0829">
      <w:pPr>
        <w:pStyle w:val="ONUMFS"/>
        <w:rPr>
          <w:lang w:val="fr-FR"/>
        </w:rPr>
      </w:pPr>
      <w:r w:rsidRPr="003A2EDF">
        <w:rPr>
          <w:lang w:val="fr-FR"/>
        </w:rPr>
        <w:t>La modification proposée ne concerne nullement les questionnaires d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enquête, qui, eux, doivent toujours être présentés au CWS pour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approbation des nouvelles enquêt</w:t>
      </w:r>
      <w:r w:rsidR="003A2EDF" w:rsidRPr="003A2EDF">
        <w:rPr>
          <w:lang w:val="fr-FR"/>
        </w:rPr>
        <w:t>es.  Co</w:t>
      </w:r>
      <w:r w:rsidRPr="003A2EDF">
        <w:rPr>
          <w:lang w:val="fr-FR"/>
        </w:rPr>
        <w:t>ntrairement aux réponses aux enquêtes, l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approbation du questionnaire est une étape utile puisque le CWS intègre souvent des éclaircissements ou des modifications ou encore de nouvelles questions soulevées par les membres durant la réunion.</w:t>
      </w:r>
    </w:p>
    <w:p w:rsidR="00025EF5" w:rsidRPr="003A2EDF" w:rsidRDefault="00025EF5" w:rsidP="001B0829">
      <w:pPr>
        <w:pStyle w:val="ONUMFS"/>
        <w:rPr>
          <w:lang w:val="fr-FR"/>
        </w:rPr>
      </w:pPr>
      <w:r w:rsidRPr="003A2EDF">
        <w:rPr>
          <w:lang w:val="fr-FR"/>
        </w:rPr>
        <w:t>La modification proposée ne modifie pas non plus les mises à jour de la septième partie couverte par le tableau ci</w:t>
      </w:r>
      <w:r w:rsidR="001B0829">
        <w:rPr>
          <w:lang w:val="fr-FR"/>
        </w:rPr>
        <w:noBreakHyphen/>
      </w:r>
      <w:r w:rsidRPr="003A2EDF">
        <w:rPr>
          <w:lang w:val="fr-FR"/>
        </w:rPr>
        <w:t>dess</w:t>
      </w:r>
      <w:r w:rsidR="003A2EDF" w:rsidRPr="003A2EDF">
        <w:rPr>
          <w:lang w:val="fr-FR"/>
        </w:rPr>
        <w:t>us.  La</w:t>
      </w:r>
      <w:r w:rsidRPr="003A2EDF">
        <w:rPr>
          <w:lang w:val="fr-FR"/>
        </w:rPr>
        <w:t xml:space="preserve"> procédure de ces mises à jour convenue à la cinqu</w:t>
      </w:r>
      <w:r w:rsidR="00D81F4F" w:rsidRPr="003A2EDF">
        <w:rPr>
          <w:lang w:val="fr-FR"/>
        </w:rPr>
        <w:t>ième session</w:t>
      </w:r>
      <w:r w:rsidRPr="003A2EDF">
        <w:rPr>
          <w:lang w:val="fr-FR"/>
        </w:rPr>
        <w:t xml:space="preserve"> du CWS est déjà compatible avec la démarche proposée, puisque les enquêtes régulières relevant de la septième partie ne sont pas soumises à analyse et que les résultats sont déjà publiés dès lors qu</w:t>
      </w:r>
      <w:r w:rsidR="00D81F4F" w:rsidRPr="003A2EDF">
        <w:rPr>
          <w:lang w:val="fr-FR"/>
        </w:rPr>
        <w:t>’</w:t>
      </w:r>
      <w:r w:rsidRPr="003A2EDF">
        <w:rPr>
          <w:lang w:val="fr-FR"/>
        </w:rPr>
        <w:t>ils sont disponibles.  (Voir le paragraphe 70a) du document CWS/5/22.)</w:t>
      </w:r>
    </w:p>
    <w:p w:rsidR="00025EF5" w:rsidRPr="003A2EDF" w:rsidRDefault="007648C3" w:rsidP="001B0829">
      <w:pPr>
        <w:pStyle w:val="Heading2"/>
        <w:rPr>
          <w:lang w:val="fr-FR"/>
        </w:rPr>
      </w:pPr>
      <w:r w:rsidRPr="003A2EDF">
        <w:rPr>
          <w:lang w:val="fr-FR"/>
        </w:rPr>
        <w:t>Résumé du précédent programme de travail</w:t>
      </w:r>
    </w:p>
    <w:p w:rsidR="00025EF5" w:rsidRPr="003A2EDF" w:rsidRDefault="00025EF5" w:rsidP="001B0829">
      <w:pPr>
        <w:pStyle w:val="ONUMFS"/>
        <w:rPr>
          <w:lang w:val="fr-FR"/>
        </w:rPr>
      </w:pPr>
      <w:r w:rsidRPr="003A2EDF">
        <w:rPr>
          <w:lang w:val="fr-FR"/>
        </w:rPr>
        <w:t xml:space="preserve">À des fins de comparaison, le précédent programme de travail était présenté dans le document </w:t>
      </w:r>
      <w:hyperlink r:id="rId10" w:history="1">
        <w:r w:rsidRPr="003A2EDF">
          <w:rPr>
            <w:rStyle w:val="Hyperlink"/>
            <w:lang w:val="fr-FR"/>
          </w:rPr>
          <w:t>CWS/7/22</w:t>
        </w:r>
      </w:hyperlink>
      <w:r w:rsidR="00F2092A" w:rsidRPr="003A2EDF">
        <w:rPr>
          <w:lang w:val="fr-FR"/>
        </w:rPr>
        <w:t>.</w:t>
      </w:r>
      <w:r w:rsidRPr="003A2EDF">
        <w:rPr>
          <w:lang w:val="fr-FR"/>
        </w:rPr>
        <w:t xml:space="preserve">  Il est résumé au moyen du tableau suivant, qui est désormais obsolè</w:t>
      </w:r>
      <w:r w:rsidR="003A2EDF" w:rsidRPr="003A2EDF">
        <w:rPr>
          <w:lang w:val="fr-FR"/>
        </w:rPr>
        <w:t>te.  Le</w:t>
      </w:r>
      <w:r w:rsidRPr="003A2EDF">
        <w:rPr>
          <w:lang w:val="fr-FR"/>
        </w:rPr>
        <w:t xml:space="preserve"> programme de travail révisé présenté ci</w:t>
      </w:r>
      <w:r w:rsidR="001B0829">
        <w:rPr>
          <w:lang w:val="fr-FR"/>
        </w:rPr>
        <w:noBreakHyphen/>
      </w:r>
      <w:r w:rsidRPr="003A2EDF">
        <w:rPr>
          <w:lang w:val="fr-FR"/>
        </w:rPr>
        <w:t>dessus remplacera le programme de travail figurant dans le document CWS/7/22.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418"/>
        <w:gridCol w:w="1417"/>
        <w:gridCol w:w="1418"/>
        <w:gridCol w:w="1341"/>
      </w:tblGrid>
      <w:tr w:rsidR="00764A40" w:rsidRPr="003A2EDF" w:rsidTr="006B339F">
        <w:tc>
          <w:tcPr>
            <w:tcW w:w="1271" w:type="dxa"/>
            <w:shd w:val="clear" w:color="auto" w:fill="D9D9D9" w:themeFill="background1" w:themeFillShade="D9"/>
          </w:tcPr>
          <w:p w:rsidR="00025EF5" w:rsidRPr="003A2EDF" w:rsidRDefault="00025EF5" w:rsidP="001B0829">
            <w:pPr>
              <w:spacing w:after="6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5EF5" w:rsidRPr="003A2EDF" w:rsidRDefault="00025EF5" w:rsidP="001B0829">
            <w:pPr>
              <w:ind w:left="-107" w:right="-114"/>
              <w:jc w:val="center"/>
              <w:rPr>
                <w:b/>
                <w:sz w:val="20"/>
              </w:rPr>
            </w:pPr>
            <w:r w:rsidRPr="003A2EDF">
              <w:rPr>
                <w:b/>
                <w:sz w:val="20"/>
              </w:rPr>
              <w:t>Dern</w:t>
            </w:r>
            <w:r w:rsidR="00764A40" w:rsidRPr="003A2EDF">
              <w:rPr>
                <w:b/>
                <w:sz w:val="20"/>
              </w:rPr>
              <w:t xml:space="preserve">ière </w:t>
            </w:r>
            <w:r w:rsidRPr="003A2EDF">
              <w:rPr>
                <w:b/>
                <w:sz w:val="20"/>
              </w:rPr>
              <w:t>pub</w:t>
            </w:r>
            <w:r w:rsidR="00764A40" w:rsidRPr="003A2EDF">
              <w:rPr>
                <w:b/>
                <w:sz w:val="20"/>
              </w:rPr>
              <w:t>lication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4A40" w:rsidRPr="003A2EDF" w:rsidRDefault="00025EF5" w:rsidP="001B0829">
            <w:pPr>
              <w:spacing w:after="60"/>
              <w:jc w:val="center"/>
              <w:rPr>
                <w:b/>
                <w:sz w:val="20"/>
              </w:rPr>
            </w:pPr>
            <w:r w:rsidRPr="003A2EDF">
              <w:rPr>
                <w:b/>
                <w:sz w:val="20"/>
              </w:rPr>
              <w:t>Après</w:t>
            </w:r>
            <w:r w:rsidR="00D81F4F" w:rsidRPr="003A2EDF">
              <w:rPr>
                <w:b/>
                <w:sz w:val="20"/>
              </w:rPr>
              <w:t xml:space="preserve"> CWS</w:t>
            </w:r>
            <w:r w:rsidRPr="003A2EDF">
              <w:rPr>
                <w:b/>
                <w:sz w:val="20"/>
              </w:rPr>
              <w:t>/5</w:t>
            </w:r>
          </w:p>
          <w:p w:rsidR="00025EF5" w:rsidRPr="003A2EDF" w:rsidRDefault="00025EF5" w:rsidP="001B0829">
            <w:pPr>
              <w:spacing w:after="60"/>
              <w:jc w:val="center"/>
              <w:rPr>
                <w:b/>
                <w:sz w:val="20"/>
              </w:rPr>
            </w:pPr>
            <w:r w:rsidRPr="003A2EDF">
              <w:rPr>
                <w:b/>
                <w:sz w:val="20"/>
              </w:rPr>
              <w:t>2017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5EF5" w:rsidRPr="003A2EDF" w:rsidRDefault="00025EF5" w:rsidP="001B0829">
            <w:pPr>
              <w:spacing w:after="60"/>
              <w:jc w:val="center"/>
              <w:rPr>
                <w:b/>
                <w:sz w:val="20"/>
              </w:rPr>
            </w:pPr>
            <w:r w:rsidRPr="003A2EDF">
              <w:rPr>
                <w:b/>
                <w:sz w:val="20"/>
              </w:rPr>
              <w:t>Après</w:t>
            </w:r>
            <w:r w:rsidR="00D81F4F" w:rsidRPr="003A2EDF">
              <w:rPr>
                <w:b/>
                <w:sz w:val="20"/>
              </w:rPr>
              <w:t xml:space="preserve"> CWS</w:t>
            </w:r>
            <w:r w:rsidRPr="003A2EDF">
              <w:rPr>
                <w:b/>
                <w:sz w:val="20"/>
              </w:rPr>
              <w:t>/6</w:t>
            </w:r>
          </w:p>
          <w:p w:rsidR="00025EF5" w:rsidRPr="003A2EDF" w:rsidRDefault="00025EF5" w:rsidP="001B0829">
            <w:pPr>
              <w:spacing w:after="60"/>
              <w:jc w:val="center"/>
              <w:rPr>
                <w:b/>
                <w:sz w:val="20"/>
              </w:rPr>
            </w:pPr>
            <w:r w:rsidRPr="003A2EDF">
              <w:rPr>
                <w:b/>
                <w:sz w:val="20"/>
              </w:rPr>
              <w:t>2018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5EF5" w:rsidRPr="003A2EDF" w:rsidRDefault="00025EF5" w:rsidP="001B0829">
            <w:pPr>
              <w:spacing w:after="60"/>
              <w:jc w:val="center"/>
              <w:rPr>
                <w:b/>
                <w:sz w:val="20"/>
              </w:rPr>
            </w:pPr>
            <w:r w:rsidRPr="003A2EDF">
              <w:rPr>
                <w:b/>
                <w:sz w:val="20"/>
              </w:rPr>
              <w:t>Après</w:t>
            </w:r>
            <w:r w:rsidR="00D81F4F" w:rsidRPr="003A2EDF">
              <w:rPr>
                <w:b/>
                <w:sz w:val="20"/>
              </w:rPr>
              <w:t xml:space="preserve"> CWS</w:t>
            </w:r>
            <w:r w:rsidRPr="003A2EDF">
              <w:rPr>
                <w:b/>
                <w:sz w:val="20"/>
              </w:rPr>
              <w:t>/7</w:t>
            </w:r>
          </w:p>
          <w:p w:rsidR="00025EF5" w:rsidRPr="003A2EDF" w:rsidRDefault="00025EF5" w:rsidP="001B0829">
            <w:pPr>
              <w:spacing w:after="60"/>
              <w:jc w:val="center"/>
              <w:rPr>
                <w:b/>
                <w:sz w:val="20"/>
              </w:rPr>
            </w:pPr>
            <w:r w:rsidRPr="003A2EDF">
              <w:rPr>
                <w:b/>
                <w:sz w:val="20"/>
              </w:rPr>
              <w:t>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5EF5" w:rsidRPr="003A2EDF" w:rsidRDefault="00025EF5" w:rsidP="001B0829">
            <w:pPr>
              <w:spacing w:after="60"/>
              <w:jc w:val="center"/>
              <w:rPr>
                <w:b/>
                <w:sz w:val="20"/>
              </w:rPr>
            </w:pPr>
            <w:r w:rsidRPr="003A2EDF">
              <w:rPr>
                <w:b/>
                <w:sz w:val="20"/>
              </w:rPr>
              <w:t>Après</w:t>
            </w:r>
            <w:r w:rsidR="00D81F4F" w:rsidRPr="003A2EDF">
              <w:rPr>
                <w:b/>
                <w:sz w:val="20"/>
              </w:rPr>
              <w:t xml:space="preserve"> CWS</w:t>
            </w:r>
            <w:r w:rsidRPr="003A2EDF">
              <w:rPr>
                <w:b/>
                <w:sz w:val="20"/>
              </w:rPr>
              <w:t>/8</w:t>
            </w:r>
          </w:p>
          <w:p w:rsidR="00025EF5" w:rsidRPr="003A2EDF" w:rsidRDefault="00025EF5" w:rsidP="001B0829">
            <w:pPr>
              <w:spacing w:after="60"/>
              <w:jc w:val="center"/>
              <w:rPr>
                <w:b/>
                <w:sz w:val="20"/>
              </w:rPr>
            </w:pPr>
            <w:r w:rsidRPr="003A2EDF">
              <w:rPr>
                <w:b/>
                <w:sz w:val="20"/>
              </w:rPr>
              <w:t>2020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5EF5" w:rsidRPr="003A2EDF" w:rsidRDefault="00025EF5" w:rsidP="001B0829">
            <w:pPr>
              <w:spacing w:after="60"/>
              <w:jc w:val="center"/>
              <w:rPr>
                <w:b/>
                <w:sz w:val="20"/>
              </w:rPr>
            </w:pPr>
            <w:r w:rsidRPr="003A2EDF">
              <w:rPr>
                <w:b/>
                <w:sz w:val="20"/>
              </w:rPr>
              <w:t>Après</w:t>
            </w:r>
            <w:r w:rsidR="00D81F4F" w:rsidRPr="003A2EDF">
              <w:rPr>
                <w:b/>
                <w:sz w:val="20"/>
              </w:rPr>
              <w:t xml:space="preserve"> CWS</w:t>
            </w:r>
            <w:r w:rsidRPr="003A2EDF">
              <w:rPr>
                <w:b/>
                <w:sz w:val="20"/>
              </w:rPr>
              <w:t>/9</w:t>
            </w:r>
          </w:p>
          <w:p w:rsidR="00025EF5" w:rsidRPr="003A2EDF" w:rsidRDefault="00025EF5" w:rsidP="001B0829">
            <w:pPr>
              <w:spacing w:after="60"/>
              <w:jc w:val="center"/>
              <w:rPr>
                <w:b/>
                <w:sz w:val="20"/>
              </w:rPr>
            </w:pPr>
            <w:r w:rsidRPr="003A2EDF">
              <w:rPr>
                <w:b/>
                <w:sz w:val="20"/>
              </w:rPr>
              <w:t>2021</w:t>
            </w:r>
          </w:p>
        </w:tc>
      </w:tr>
      <w:tr w:rsidR="00764A40" w:rsidRPr="003A2EDF" w:rsidTr="006B339F">
        <w:tc>
          <w:tcPr>
            <w:tcW w:w="127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Partie 7.1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1997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pacing w:val="-2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ind w:right="-103"/>
              <w:rPr>
                <w:spacing w:val="-2"/>
                <w:sz w:val="20"/>
              </w:rPr>
            </w:pPr>
            <w:r w:rsidRPr="003A2EDF">
              <w:rPr>
                <w:sz w:val="20"/>
              </w:rPr>
              <w:t>Questionnaire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ind w:right="-112"/>
              <w:rPr>
                <w:sz w:val="20"/>
              </w:rPr>
            </w:pPr>
            <w:r w:rsidRPr="003A2EDF">
              <w:rPr>
                <w:sz w:val="20"/>
              </w:rPr>
              <w:t>Collecte d</w:t>
            </w:r>
            <w:r w:rsidR="00D81F4F" w:rsidRPr="003A2EDF">
              <w:rPr>
                <w:sz w:val="20"/>
              </w:rPr>
              <w:t>’</w:t>
            </w:r>
            <w:r w:rsidRPr="003A2EDF">
              <w:rPr>
                <w:sz w:val="20"/>
              </w:rPr>
              <w:t>informations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Publication</w:t>
            </w:r>
          </w:p>
        </w:tc>
      </w:tr>
      <w:tr w:rsidR="00764A40" w:rsidRPr="003A2EDF" w:rsidTr="006B339F">
        <w:tc>
          <w:tcPr>
            <w:tcW w:w="127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Partie 7.2.1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Archivée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</w:tr>
      <w:tr w:rsidR="00764A40" w:rsidRPr="003A2EDF" w:rsidTr="006B339F">
        <w:tc>
          <w:tcPr>
            <w:tcW w:w="127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Partie 7.2.2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pacing w:val="-2"/>
                <w:sz w:val="20"/>
              </w:rPr>
            </w:pPr>
            <w:r w:rsidRPr="003A2EDF">
              <w:rPr>
                <w:sz w:val="20"/>
              </w:rPr>
              <w:t>2001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pacing w:val="-2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ind w:right="-111"/>
              <w:rPr>
                <w:spacing w:val="-2"/>
                <w:sz w:val="20"/>
              </w:rPr>
            </w:pPr>
            <w:r w:rsidRPr="003A2EDF">
              <w:rPr>
                <w:sz w:val="20"/>
              </w:rPr>
              <w:t>Questionnaire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ind w:right="-103"/>
              <w:rPr>
                <w:sz w:val="20"/>
              </w:rPr>
            </w:pPr>
            <w:r w:rsidRPr="003A2EDF">
              <w:rPr>
                <w:sz w:val="20"/>
              </w:rPr>
              <w:t>Collecte d</w:t>
            </w:r>
            <w:r w:rsidR="00D81F4F" w:rsidRPr="003A2EDF">
              <w:rPr>
                <w:sz w:val="20"/>
              </w:rPr>
              <w:t>’</w:t>
            </w:r>
            <w:r w:rsidRPr="003A2EDF">
              <w:rPr>
                <w:sz w:val="20"/>
              </w:rPr>
              <w:t>informations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Publication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</w:tr>
      <w:tr w:rsidR="00764A40" w:rsidRPr="003A2EDF" w:rsidTr="006B339F">
        <w:tc>
          <w:tcPr>
            <w:tcW w:w="127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Partie 7.2.3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2000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Archivage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</w:tr>
      <w:tr w:rsidR="00764A40" w:rsidRPr="003A2EDF" w:rsidTr="006B339F">
        <w:tc>
          <w:tcPr>
            <w:tcW w:w="127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Partie 7.2.4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5EF5" w:rsidRPr="003A2EDF" w:rsidRDefault="00764A40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Mise à jour</w:t>
            </w:r>
            <w:r w:rsidR="00025EF5" w:rsidRPr="003A2EDF">
              <w:rPr>
                <w:sz w:val="20"/>
              </w:rPr>
              <w:t>/</w:t>
            </w:r>
            <w:r w:rsidR="00025EF5" w:rsidRPr="003A2EDF">
              <w:rPr>
                <w:sz w:val="20"/>
              </w:rPr>
              <w:br/>
              <w:t>Publication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Mise à jour</w:t>
            </w:r>
          </w:p>
        </w:tc>
      </w:tr>
      <w:tr w:rsidR="00025EF5" w:rsidRPr="003A2EDF" w:rsidTr="00764A40">
        <w:tc>
          <w:tcPr>
            <w:tcW w:w="127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Partie 7.2.5</w:t>
            </w:r>
          </w:p>
        </w:tc>
        <w:tc>
          <w:tcPr>
            <w:tcW w:w="1276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2013</w:t>
            </w:r>
          </w:p>
        </w:tc>
        <w:tc>
          <w:tcPr>
            <w:tcW w:w="70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Mise à jour à la demande du CWS</w:t>
            </w:r>
          </w:p>
        </w:tc>
      </w:tr>
      <w:tr w:rsidR="00764A40" w:rsidRPr="003A2EDF" w:rsidTr="006B339F">
        <w:tc>
          <w:tcPr>
            <w:tcW w:w="127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Partie 7.2.6</w:t>
            </w:r>
          </w:p>
        </w:tc>
        <w:tc>
          <w:tcPr>
            <w:tcW w:w="1276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5EF5" w:rsidRPr="003A2EDF" w:rsidRDefault="00764A40" w:rsidP="001B0829">
            <w:pPr>
              <w:spacing w:after="60"/>
              <w:ind w:right="-112"/>
              <w:rPr>
                <w:sz w:val="20"/>
              </w:rPr>
            </w:pPr>
            <w:r w:rsidRPr="003A2EDF">
              <w:rPr>
                <w:sz w:val="20"/>
              </w:rPr>
              <w:t>Collecte d</w:t>
            </w:r>
            <w:r w:rsidR="00D81F4F" w:rsidRPr="003A2EDF">
              <w:rPr>
                <w:sz w:val="20"/>
              </w:rPr>
              <w:t>’</w:t>
            </w:r>
            <w:r w:rsidRPr="003A2EDF">
              <w:rPr>
                <w:sz w:val="20"/>
              </w:rPr>
              <w:t>informations</w:t>
            </w:r>
            <w:r w:rsidR="00025EF5" w:rsidRPr="003A2EDF">
              <w:rPr>
                <w:sz w:val="20"/>
              </w:rPr>
              <w:t xml:space="preserve">/ </w:t>
            </w:r>
            <w:r w:rsidR="00025EF5" w:rsidRPr="003A2EDF">
              <w:rPr>
                <w:sz w:val="20"/>
              </w:rPr>
              <w:br/>
              <w:t>Publication</w:t>
            </w:r>
          </w:p>
        </w:tc>
        <w:tc>
          <w:tcPr>
            <w:tcW w:w="134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</w:tr>
      <w:tr w:rsidR="00764A40" w:rsidRPr="003A2EDF" w:rsidTr="006B339F">
        <w:tc>
          <w:tcPr>
            <w:tcW w:w="127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Partie 7.2.7</w:t>
            </w:r>
          </w:p>
        </w:tc>
        <w:tc>
          <w:tcPr>
            <w:tcW w:w="1276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Publication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5EF5" w:rsidRPr="003A2EDF" w:rsidRDefault="00025EF5" w:rsidP="001B0829">
            <w:pPr>
              <w:spacing w:after="60"/>
              <w:ind w:right="-112"/>
              <w:rPr>
                <w:sz w:val="20"/>
              </w:rPr>
            </w:pPr>
            <w:r w:rsidRPr="003A2EDF">
              <w:rPr>
                <w:sz w:val="20"/>
              </w:rPr>
              <w:t>Collecte d</w:t>
            </w:r>
            <w:r w:rsidR="00D81F4F" w:rsidRPr="003A2EDF">
              <w:rPr>
                <w:sz w:val="20"/>
              </w:rPr>
              <w:t>’</w:t>
            </w:r>
            <w:r w:rsidRPr="003A2EDF">
              <w:rPr>
                <w:sz w:val="20"/>
              </w:rPr>
              <w:t xml:space="preserve">informations/ </w:t>
            </w:r>
            <w:r w:rsidRPr="003A2EDF">
              <w:rPr>
                <w:sz w:val="20"/>
              </w:rPr>
              <w:br/>
              <w:t>Publication</w:t>
            </w:r>
          </w:p>
        </w:tc>
        <w:tc>
          <w:tcPr>
            <w:tcW w:w="134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</w:tr>
      <w:tr w:rsidR="00764A40" w:rsidRPr="003A2EDF" w:rsidTr="006B339F">
        <w:tc>
          <w:tcPr>
            <w:tcW w:w="127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Partie 7.3</w:t>
            </w:r>
          </w:p>
        </w:tc>
        <w:tc>
          <w:tcPr>
            <w:tcW w:w="1276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5EF5" w:rsidRPr="003A2EDF" w:rsidRDefault="00025EF5" w:rsidP="001B0829">
            <w:pPr>
              <w:spacing w:after="60"/>
              <w:ind w:right="-111"/>
              <w:rPr>
                <w:sz w:val="20"/>
              </w:rPr>
            </w:pPr>
            <w:r w:rsidRPr="003A2EDF">
              <w:rPr>
                <w:sz w:val="20"/>
              </w:rPr>
              <w:t>Collecte d</w:t>
            </w:r>
            <w:r w:rsidR="00D81F4F" w:rsidRPr="003A2EDF">
              <w:rPr>
                <w:sz w:val="20"/>
              </w:rPr>
              <w:t>’</w:t>
            </w:r>
            <w:r w:rsidRPr="003A2EDF">
              <w:rPr>
                <w:sz w:val="20"/>
              </w:rPr>
              <w:t xml:space="preserve">informations/ </w:t>
            </w:r>
            <w:r w:rsidRPr="003A2EDF">
              <w:rPr>
                <w:sz w:val="20"/>
              </w:rPr>
              <w:br/>
              <w:t>Publication</w:t>
            </w:r>
          </w:p>
        </w:tc>
        <w:tc>
          <w:tcPr>
            <w:tcW w:w="1418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</w:tr>
      <w:tr w:rsidR="00025EF5" w:rsidRPr="003A2EDF" w:rsidTr="00764A40">
        <w:tc>
          <w:tcPr>
            <w:tcW w:w="127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Partie 7.4</w:t>
            </w:r>
          </w:p>
        </w:tc>
        <w:tc>
          <w:tcPr>
            <w:tcW w:w="1276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2009</w:t>
            </w:r>
          </w:p>
        </w:tc>
        <w:tc>
          <w:tcPr>
            <w:tcW w:w="70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Mise à jour à la demande du CWS</w:t>
            </w:r>
          </w:p>
        </w:tc>
      </w:tr>
      <w:tr w:rsidR="00025EF5" w:rsidRPr="003A2EDF" w:rsidTr="00764A40"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Partie 7.5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70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Archivée</w:t>
            </w:r>
          </w:p>
        </w:tc>
      </w:tr>
      <w:tr w:rsidR="00764A40" w:rsidRPr="003A2EDF" w:rsidTr="006B339F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Partie 7.6</w:t>
            </w:r>
          </w:p>
        </w:tc>
        <w:tc>
          <w:tcPr>
            <w:tcW w:w="1276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1990</w:t>
            </w:r>
          </w:p>
        </w:tc>
        <w:tc>
          <w:tcPr>
            <w:tcW w:w="1417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5EF5" w:rsidRPr="003A2EDF" w:rsidRDefault="00025EF5" w:rsidP="001B0829">
            <w:pPr>
              <w:spacing w:after="60"/>
              <w:ind w:right="-111"/>
              <w:rPr>
                <w:spacing w:val="-2"/>
                <w:sz w:val="20"/>
              </w:rPr>
            </w:pPr>
            <w:r w:rsidRPr="003A2EDF">
              <w:rPr>
                <w:sz w:val="20"/>
              </w:rPr>
              <w:t>Questionnaire</w:t>
            </w:r>
          </w:p>
        </w:tc>
        <w:tc>
          <w:tcPr>
            <w:tcW w:w="1418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Mise à jour</w:t>
            </w:r>
          </w:p>
        </w:tc>
        <w:tc>
          <w:tcPr>
            <w:tcW w:w="134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Publication</w:t>
            </w:r>
          </w:p>
        </w:tc>
      </w:tr>
      <w:tr w:rsidR="00764A40" w:rsidRPr="003A2EDF" w:rsidTr="006B339F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Partie 7.7</w:t>
            </w:r>
          </w:p>
        </w:tc>
        <w:tc>
          <w:tcPr>
            <w:tcW w:w="1276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pacing w:val="-2"/>
                <w:sz w:val="20"/>
              </w:rPr>
            </w:pPr>
            <w:r w:rsidRPr="003A2EDF">
              <w:rPr>
                <w:sz w:val="20"/>
              </w:rPr>
              <w:t>2002</w:t>
            </w:r>
          </w:p>
        </w:tc>
        <w:tc>
          <w:tcPr>
            <w:tcW w:w="1417" w:type="dxa"/>
            <w:shd w:val="clear" w:color="auto" w:fill="auto"/>
          </w:tcPr>
          <w:p w:rsidR="00025EF5" w:rsidRPr="003A2EDF" w:rsidRDefault="00025EF5" w:rsidP="001B0829">
            <w:pPr>
              <w:spacing w:after="60"/>
              <w:ind w:right="-110"/>
              <w:rPr>
                <w:sz w:val="20"/>
              </w:rPr>
            </w:pPr>
            <w:r w:rsidRPr="003A2EDF">
              <w:rPr>
                <w:sz w:val="20"/>
              </w:rPr>
              <w:t>Questionnaire</w:t>
            </w:r>
          </w:p>
        </w:tc>
        <w:tc>
          <w:tcPr>
            <w:tcW w:w="1418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Mise à jour</w:t>
            </w:r>
          </w:p>
        </w:tc>
        <w:tc>
          <w:tcPr>
            <w:tcW w:w="1417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Publication</w:t>
            </w:r>
          </w:p>
        </w:tc>
        <w:tc>
          <w:tcPr>
            <w:tcW w:w="1418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Mise à jour</w:t>
            </w:r>
          </w:p>
        </w:tc>
      </w:tr>
      <w:tr w:rsidR="00025EF5" w:rsidRPr="003A2EDF" w:rsidTr="00764A40"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Partie 7.8</w:t>
            </w:r>
          </w:p>
        </w:tc>
        <w:tc>
          <w:tcPr>
            <w:tcW w:w="1276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</w:p>
        </w:tc>
        <w:tc>
          <w:tcPr>
            <w:tcW w:w="7011" w:type="dxa"/>
            <w:gridSpan w:val="5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Archivée</w:t>
            </w:r>
          </w:p>
        </w:tc>
      </w:tr>
      <w:tr w:rsidR="00025EF5" w:rsidRPr="003A2EDF" w:rsidTr="00764A40">
        <w:tc>
          <w:tcPr>
            <w:tcW w:w="127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Partie 7.9</w:t>
            </w:r>
          </w:p>
        </w:tc>
        <w:tc>
          <w:tcPr>
            <w:tcW w:w="1276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2008</w:t>
            </w:r>
          </w:p>
        </w:tc>
        <w:tc>
          <w:tcPr>
            <w:tcW w:w="7011" w:type="dxa"/>
            <w:gridSpan w:val="5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Mise à jour à la demande du CWS</w:t>
            </w:r>
          </w:p>
        </w:tc>
      </w:tr>
      <w:tr w:rsidR="00025EF5" w:rsidRPr="003A2EDF" w:rsidTr="00764A40">
        <w:tc>
          <w:tcPr>
            <w:tcW w:w="127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Partie 7.10</w:t>
            </w:r>
          </w:p>
        </w:tc>
        <w:tc>
          <w:tcPr>
            <w:tcW w:w="1276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2009</w:t>
            </w:r>
          </w:p>
        </w:tc>
        <w:tc>
          <w:tcPr>
            <w:tcW w:w="7011" w:type="dxa"/>
            <w:gridSpan w:val="5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Mise à jour à la demande du CWS</w:t>
            </w:r>
          </w:p>
        </w:tc>
      </w:tr>
      <w:tr w:rsidR="00025EF5" w:rsidRPr="003A2EDF" w:rsidTr="00764A40">
        <w:tc>
          <w:tcPr>
            <w:tcW w:w="1271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Partie 7.11</w:t>
            </w:r>
          </w:p>
        </w:tc>
        <w:tc>
          <w:tcPr>
            <w:tcW w:w="1276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2012</w:t>
            </w:r>
          </w:p>
        </w:tc>
        <w:tc>
          <w:tcPr>
            <w:tcW w:w="7011" w:type="dxa"/>
            <w:gridSpan w:val="5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Mise à jour à la demande du CWS</w:t>
            </w:r>
          </w:p>
        </w:tc>
      </w:tr>
      <w:tr w:rsidR="00025EF5" w:rsidRPr="003A2EDF" w:rsidTr="00764A4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Partie 7.12</w:t>
            </w:r>
          </w:p>
        </w:tc>
        <w:tc>
          <w:tcPr>
            <w:tcW w:w="1276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Publication</w:t>
            </w:r>
          </w:p>
        </w:tc>
        <w:tc>
          <w:tcPr>
            <w:tcW w:w="5594" w:type="dxa"/>
            <w:gridSpan w:val="4"/>
            <w:shd w:val="clear" w:color="auto" w:fill="auto"/>
          </w:tcPr>
          <w:p w:rsidR="00025EF5" w:rsidRPr="003A2EDF" w:rsidRDefault="00025EF5" w:rsidP="001B0829">
            <w:pPr>
              <w:spacing w:after="60"/>
              <w:rPr>
                <w:sz w:val="20"/>
              </w:rPr>
            </w:pPr>
            <w:r w:rsidRPr="003A2EDF">
              <w:rPr>
                <w:sz w:val="20"/>
              </w:rPr>
              <w:t>Mises à jour ad hoc à la demande</w:t>
            </w:r>
          </w:p>
        </w:tc>
      </w:tr>
    </w:tbl>
    <w:p w:rsidR="00025EF5" w:rsidRPr="003A2EDF" w:rsidRDefault="00025EF5" w:rsidP="001B0829">
      <w:pPr>
        <w:pStyle w:val="ONUMFS"/>
        <w:tabs>
          <w:tab w:val="left" w:pos="6101"/>
        </w:tabs>
        <w:ind w:left="5534"/>
        <w:rPr>
          <w:i/>
          <w:lang w:val="fr-FR"/>
        </w:rPr>
      </w:pPr>
      <w:r w:rsidRPr="003A2EDF">
        <w:rPr>
          <w:i/>
          <w:lang w:val="fr-FR"/>
        </w:rPr>
        <w:lastRenderedPageBreak/>
        <w:t>Le CWS est invité à</w:t>
      </w:r>
    </w:p>
    <w:p w:rsidR="00025EF5" w:rsidRPr="003A2EDF" w:rsidRDefault="00025EF5" w:rsidP="001B0829">
      <w:pPr>
        <w:pStyle w:val="ONUMFS"/>
        <w:numPr>
          <w:ilvl w:val="1"/>
          <w:numId w:val="6"/>
        </w:numPr>
        <w:tabs>
          <w:tab w:val="left" w:pos="6668"/>
        </w:tabs>
        <w:ind w:left="5534" w:firstLine="567"/>
        <w:rPr>
          <w:i/>
          <w:lang w:val="fr-FR"/>
        </w:rPr>
      </w:pPr>
      <w:r w:rsidRPr="003A2EDF">
        <w:rPr>
          <w:i/>
          <w:lang w:val="fr-FR"/>
        </w:rPr>
        <w:t>prendre note d</w:t>
      </w:r>
      <w:r w:rsidR="00C20DA2" w:rsidRPr="003A2EDF">
        <w:rPr>
          <w:i/>
          <w:lang w:val="fr-FR"/>
        </w:rPr>
        <w:t>u contenu du présent document,</w:t>
      </w:r>
    </w:p>
    <w:p w:rsidR="00025EF5" w:rsidRPr="003A2EDF" w:rsidRDefault="00025EF5" w:rsidP="001B0829">
      <w:pPr>
        <w:pStyle w:val="ONUMFS"/>
        <w:numPr>
          <w:ilvl w:val="1"/>
          <w:numId w:val="6"/>
        </w:numPr>
        <w:tabs>
          <w:tab w:val="left" w:pos="6668"/>
        </w:tabs>
        <w:ind w:left="5533" w:firstLine="567"/>
        <w:rPr>
          <w:i/>
          <w:lang w:val="fr-FR"/>
        </w:rPr>
      </w:pPr>
      <w:r w:rsidRPr="003A2EDF">
        <w:rPr>
          <w:i/>
          <w:lang w:val="fr-FR"/>
        </w:rPr>
        <w:t>approuver le programme de travail révisé présenté a</w:t>
      </w:r>
      <w:r w:rsidR="00C20DA2" w:rsidRPr="003A2EDF">
        <w:rPr>
          <w:i/>
          <w:lang w:val="fr-FR"/>
        </w:rPr>
        <w:t>ux paragraphes 5 à 10 ci</w:t>
      </w:r>
      <w:r w:rsidR="001B0829">
        <w:rPr>
          <w:i/>
          <w:lang w:val="fr-FR"/>
        </w:rPr>
        <w:noBreakHyphen/>
      </w:r>
      <w:r w:rsidR="00C20DA2" w:rsidRPr="003A2EDF">
        <w:rPr>
          <w:i/>
          <w:lang w:val="fr-FR"/>
        </w:rPr>
        <w:t>dessus,</w:t>
      </w:r>
    </w:p>
    <w:p w:rsidR="00D81F4F" w:rsidRPr="003A2EDF" w:rsidRDefault="00025EF5" w:rsidP="001B0829">
      <w:pPr>
        <w:pStyle w:val="ONUMFS"/>
        <w:numPr>
          <w:ilvl w:val="1"/>
          <w:numId w:val="6"/>
        </w:numPr>
        <w:tabs>
          <w:tab w:val="left" w:pos="6668"/>
        </w:tabs>
        <w:ind w:left="5533" w:firstLine="567"/>
        <w:rPr>
          <w:i/>
          <w:lang w:val="fr-FR"/>
        </w:rPr>
      </w:pPr>
      <w:r w:rsidRPr="003A2EDF">
        <w:rPr>
          <w:i/>
          <w:lang w:val="fr-FR"/>
        </w:rPr>
        <w:t>décider s</w:t>
      </w:r>
      <w:r w:rsidR="00D81F4F" w:rsidRPr="003A2EDF">
        <w:rPr>
          <w:i/>
          <w:lang w:val="fr-FR"/>
        </w:rPr>
        <w:t>’</w:t>
      </w:r>
      <w:r w:rsidRPr="003A2EDF">
        <w:rPr>
          <w:i/>
          <w:lang w:val="fr-FR"/>
        </w:rPr>
        <w:t>il convient de demander la mise à jour de la partie 7.9, Pratiques en matière de citations, telle que vi</w:t>
      </w:r>
      <w:r w:rsidR="00C20DA2" w:rsidRPr="003A2EDF">
        <w:rPr>
          <w:i/>
          <w:lang w:val="fr-FR"/>
        </w:rPr>
        <w:t>sée au paragraphe 11 ci</w:t>
      </w:r>
      <w:r w:rsidR="001B0829">
        <w:rPr>
          <w:i/>
          <w:lang w:val="fr-FR"/>
        </w:rPr>
        <w:noBreakHyphen/>
      </w:r>
      <w:r w:rsidR="00C20DA2" w:rsidRPr="003A2EDF">
        <w:rPr>
          <w:i/>
          <w:lang w:val="fr-FR"/>
        </w:rPr>
        <w:t>dessus</w:t>
      </w:r>
      <w:r w:rsidRPr="003A2EDF">
        <w:rPr>
          <w:i/>
          <w:lang w:val="fr-FR"/>
        </w:rPr>
        <w:t xml:space="preserve"> et</w:t>
      </w:r>
    </w:p>
    <w:p w:rsidR="00025EF5" w:rsidRPr="003A2EDF" w:rsidRDefault="00025EF5" w:rsidP="001B0829">
      <w:pPr>
        <w:pStyle w:val="ONUMFS"/>
        <w:numPr>
          <w:ilvl w:val="1"/>
          <w:numId w:val="6"/>
        </w:numPr>
        <w:tabs>
          <w:tab w:val="left" w:pos="6668"/>
        </w:tabs>
        <w:ind w:left="5533" w:firstLine="567"/>
        <w:rPr>
          <w:i/>
          <w:lang w:val="fr-FR"/>
        </w:rPr>
      </w:pPr>
      <w:r w:rsidRPr="003A2EDF">
        <w:rPr>
          <w:i/>
          <w:lang w:val="fr-FR"/>
        </w:rPr>
        <w:t>approuver la proposition de modification de la procédure de publication pour toutes les enquêtes du CWS présentée au paragraphe 12 ci</w:t>
      </w:r>
      <w:r w:rsidR="001B0829">
        <w:rPr>
          <w:i/>
          <w:lang w:val="fr-FR"/>
        </w:rPr>
        <w:noBreakHyphen/>
      </w:r>
      <w:r w:rsidRPr="003A2EDF">
        <w:rPr>
          <w:i/>
          <w:lang w:val="fr-FR"/>
        </w:rPr>
        <w:t>dessus.</w:t>
      </w:r>
    </w:p>
    <w:p w:rsidR="000F5E56" w:rsidRPr="003A2EDF" w:rsidRDefault="00025EF5" w:rsidP="001B0829">
      <w:pPr>
        <w:pStyle w:val="Endofdocument"/>
      </w:pPr>
      <w:r w:rsidRPr="003A2EDF">
        <w:t>[Fin du document]</w:t>
      </w:r>
    </w:p>
    <w:sectPr w:rsidR="000F5E56" w:rsidRPr="003A2EDF" w:rsidSect="001B0829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DDB" w:rsidRDefault="00B20DDB">
      <w:r>
        <w:separator/>
      </w:r>
    </w:p>
  </w:endnote>
  <w:endnote w:type="continuationSeparator" w:id="0">
    <w:p w:rsidR="00B20DDB" w:rsidRPr="009D30E6" w:rsidRDefault="00B20DD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20DDB" w:rsidRPr="009D30E6" w:rsidRDefault="00B20DD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B20DDB" w:rsidRPr="009D30E6" w:rsidRDefault="00B20DD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DDB" w:rsidRDefault="00B20DDB">
      <w:r>
        <w:separator/>
      </w:r>
    </w:p>
  </w:footnote>
  <w:footnote w:type="continuationSeparator" w:id="0">
    <w:p w:rsidR="00B20DDB" w:rsidRDefault="00B20DDB" w:rsidP="007461F1">
      <w:r>
        <w:separator/>
      </w:r>
    </w:p>
    <w:p w:rsidR="00B20DDB" w:rsidRPr="009D30E6" w:rsidRDefault="00B20DD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B20DDB" w:rsidRPr="009D30E6" w:rsidRDefault="00B20DD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025EF5" w:rsidP="00477D6B">
    <w:pPr>
      <w:jc w:val="right"/>
      <w:rPr>
        <w:caps/>
      </w:rPr>
    </w:pPr>
    <w:bookmarkStart w:id="6" w:name="Code2"/>
    <w:bookmarkEnd w:id="6"/>
    <w:r>
      <w:rPr>
        <w:caps/>
      </w:rPr>
      <w:t>CWS/9/20</w:t>
    </w:r>
  </w:p>
  <w:p w:rsidR="00574036" w:rsidRDefault="00300D4D" w:rsidP="00300D4D">
    <w:pPr>
      <w:spacing w:after="480"/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746902">
      <w:rPr>
        <w:noProof/>
      </w:rPr>
      <w:t>6</w:t>
    </w:r>
    <w:r w:rsidR="00F169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1E2BC6"/>
    <w:multiLevelType w:val="multilevel"/>
    <w:tmpl w:val="2D08D3DC"/>
    <w:lvl w:ilvl="0">
      <w:numFmt w:val="bullet"/>
      <w:pStyle w:val="Bulletedlistlevel2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3E47CF7"/>
    <w:multiLevelType w:val="hybridMultilevel"/>
    <w:tmpl w:val="900C7E6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790657"/>
    <w:multiLevelType w:val="hybridMultilevel"/>
    <w:tmpl w:val="FFD2E234"/>
    <w:lvl w:ilvl="0" w:tplc="F51255DA">
      <w:start w:val="1"/>
      <w:numFmt w:val="lowerLetter"/>
      <w:lvlText w:val="(%1)"/>
      <w:lvlJc w:val="left"/>
      <w:pPr>
        <w:ind w:left="5530" w:firstLine="68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922" w:hanging="360"/>
      </w:pPr>
    </w:lvl>
    <w:lvl w:ilvl="2" w:tplc="0409001B" w:tentative="1">
      <w:start w:val="1"/>
      <w:numFmt w:val="lowerRoman"/>
      <w:lvlText w:val="%3."/>
      <w:lvlJc w:val="right"/>
      <w:pPr>
        <w:ind w:left="11642" w:hanging="180"/>
      </w:pPr>
    </w:lvl>
    <w:lvl w:ilvl="3" w:tplc="0409000F" w:tentative="1">
      <w:start w:val="1"/>
      <w:numFmt w:val="decimal"/>
      <w:lvlText w:val="%4."/>
      <w:lvlJc w:val="left"/>
      <w:pPr>
        <w:ind w:left="12362" w:hanging="360"/>
      </w:pPr>
    </w:lvl>
    <w:lvl w:ilvl="4" w:tplc="04090019" w:tentative="1">
      <w:start w:val="1"/>
      <w:numFmt w:val="lowerLetter"/>
      <w:lvlText w:val="%5."/>
      <w:lvlJc w:val="left"/>
      <w:pPr>
        <w:ind w:left="13082" w:hanging="360"/>
      </w:pPr>
    </w:lvl>
    <w:lvl w:ilvl="5" w:tplc="0409001B" w:tentative="1">
      <w:start w:val="1"/>
      <w:numFmt w:val="lowerRoman"/>
      <w:lvlText w:val="%6."/>
      <w:lvlJc w:val="right"/>
      <w:pPr>
        <w:ind w:left="13802" w:hanging="180"/>
      </w:pPr>
    </w:lvl>
    <w:lvl w:ilvl="6" w:tplc="0409000F" w:tentative="1">
      <w:start w:val="1"/>
      <w:numFmt w:val="decimal"/>
      <w:lvlText w:val="%7."/>
      <w:lvlJc w:val="left"/>
      <w:pPr>
        <w:ind w:left="14522" w:hanging="360"/>
      </w:pPr>
    </w:lvl>
    <w:lvl w:ilvl="7" w:tplc="04090019" w:tentative="1">
      <w:start w:val="1"/>
      <w:numFmt w:val="lowerLetter"/>
      <w:lvlText w:val="%8."/>
      <w:lvlJc w:val="left"/>
      <w:pPr>
        <w:ind w:left="15242" w:hanging="360"/>
      </w:pPr>
    </w:lvl>
    <w:lvl w:ilvl="8" w:tplc="0409001B" w:tentative="1">
      <w:start w:val="1"/>
      <w:numFmt w:val="lowerRoman"/>
      <w:lvlText w:val="%9."/>
      <w:lvlJc w:val="right"/>
      <w:pPr>
        <w:ind w:left="15962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F5"/>
    <w:rsid w:val="00011B7D"/>
    <w:rsid w:val="00025EF5"/>
    <w:rsid w:val="00037E41"/>
    <w:rsid w:val="00075432"/>
    <w:rsid w:val="0009458A"/>
    <w:rsid w:val="000F5E56"/>
    <w:rsid w:val="001362EE"/>
    <w:rsid w:val="001832A6"/>
    <w:rsid w:val="00192DFB"/>
    <w:rsid w:val="00195C6E"/>
    <w:rsid w:val="001B0829"/>
    <w:rsid w:val="001B266A"/>
    <w:rsid w:val="001B488E"/>
    <w:rsid w:val="001C6508"/>
    <w:rsid w:val="001D3D56"/>
    <w:rsid w:val="00240654"/>
    <w:rsid w:val="002634C4"/>
    <w:rsid w:val="0027699E"/>
    <w:rsid w:val="002956DE"/>
    <w:rsid w:val="002E4D1A"/>
    <w:rsid w:val="002F16BC"/>
    <w:rsid w:val="002F4E68"/>
    <w:rsid w:val="00300D4D"/>
    <w:rsid w:val="00322C0B"/>
    <w:rsid w:val="00381798"/>
    <w:rsid w:val="003845C1"/>
    <w:rsid w:val="003A0363"/>
    <w:rsid w:val="003A2EDF"/>
    <w:rsid w:val="003A67A3"/>
    <w:rsid w:val="003E1071"/>
    <w:rsid w:val="004008A2"/>
    <w:rsid w:val="004025DF"/>
    <w:rsid w:val="0040540C"/>
    <w:rsid w:val="00423E3E"/>
    <w:rsid w:val="00427AF4"/>
    <w:rsid w:val="004527EA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4AA1"/>
    <w:rsid w:val="00595F07"/>
    <w:rsid w:val="005E6516"/>
    <w:rsid w:val="00605827"/>
    <w:rsid w:val="00616671"/>
    <w:rsid w:val="00632A7B"/>
    <w:rsid w:val="00655AED"/>
    <w:rsid w:val="006B0DB5"/>
    <w:rsid w:val="006B339F"/>
    <w:rsid w:val="007461F1"/>
    <w:rsid w:val="00746902"/>
    <w:rsid w:val="007648C3"/>
    <w:rsid w:val="00764A40"/>
    <w:rsid w:val="007D6961"/>
    <w:rsid w:val="007F07CB"/>
    <w:rsid w:val="00810CEF"/>
    <w:rsid w:val="0081208D"/>
    <w:rsid w:val="008B2CC1"/>
    <w:rsid w:val="008E7930"/>
    <w:rsid w:val="0090731E"/>
    <w:rsid w:val="00926E34"/>
    <w:rsid w:val="00966A22"/>
    <w:rsid w:val="00974CD6"/>
    <w:rsid w:val="009D30E6"/>
    <w:rsid w:val="009E3F6F"/>
    <w:rsid w:val="009F499F"/>
    <w:rsid w:val="00A11D74"/>
    <w:rsid w:val="00A600BA"/>
    <w:rsid w:val="00AC0AE4"/>
    <w:rsid w:val="00AD61DB"/>
    <w:rsid w:val="00AE6EEE"/>
    <w:rsid w:val="00B1090C"/>
    <w:rsid w:val="00B20DDB"/>
    <w:rsid w:val="00B35AF5"/>
    <w:rsid w:val="00B45C15"/>
    <w:rsid w:val="00BD2F0F"/>
    <w:rsid w:val="00BE0BE0"/>
    <w:rsid w:val="00C20DA2"/>
    <w:rsid w:val="00C664C8"/>
    <w:rsid w:val="00C81BD4"/>
    <w:rsid w:val="00CF0460"/>
    <w:rsid w:val="00CF3410"/>
    <w:rsid w:val="00D43E0F"/>
    <w:rsid w:val="00D45252"/>
    <w:rsid w:val="00D71B4D"/>
    <w:rsid w:val="00D75C1E"/>
    <w:rsid w:val="00D81F4F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2092A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E30BBB-DEFF-4085-8F54-D5FAA998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648C3"/>
    <w:pPr>
      <w:keepNext/>
      <w:spacing w:before="24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037E41"/>
    <w:pPr>
      <w:spacing w:before="0" w:after="480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037E41"/>
    <w:rPr>
      <w:rFonts w:ascii="Arial" w:eastAsiaTheme="majorEastAsia" w:hAnsi="Arial" w:cstheme="majorBidi"/>
      <w:b/>
      <w:bCs/>
      <w:caps/>
      <w:spacing w:val="-10"/>
      <w:kern w:val="28"/>
      <w:sz w:val="28"/>
      <w:szCs w:val="56"/>
      <w:lang w:eastAsia="zh-CN"/>
    </w:rPr>
  </w:style>
  <w:style w:type="character" w:customStyle="1" w:styleId="Heading2Char">
    <w:name w:val="Heading 2 Char"/>
    <w:basedOn w:val="DefaultParagraphFont"/>
    <w:link w:val="Heading2"/>
    <w:rsid w:val="00025EF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Endofdocument">
    <w:name w:val="End of document"/>
    <w:basedOn w:val="Normal"/>
    <w:rsid w:val="00C20DA2"/>
    <w:pPr>
      <w:spacing w:before="720"/>
      <w:ind w:left="5533"/>
    </w:pPr>
    <w:rPr>
      <w:rFonts w:eastAsia="Times New Roman" w:cs="Times New Roman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025EF5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basedOn w:val="DefaultParagraphFont"/>
    <w:link w:val="ONUME"/>
    <w:rsid w:val="00025EF5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25EF5"/>
    <w:pPr>
      <w:ind w:left="720"/>
      <w:contextualSpacing/>
    </w:pPr>
    <w:rPr>
      <w:rFonts w:eastAsia="Times New Roman"/>
      <w:lang w:val="fr-FR" w:eastAsia="en-US"/>
    </w:rPr>
  </w:style>
  <w:style w:type="table" w:styleId="TableGrid">
    <w:name w:val="Table Grid"/>
    <w:basedOn w:val="TableNormal"/>
    <w:rsid w:val="00025EF5"/>
    <w:rPr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025EF5"/>
    <w:rPr>
      <w:color w:val="0000FF" w:themeColor="hyperlink"/>
      <w:u w:val="single"/>
    </w:rPr>
  </w:style>
  <w:style w:type="paragraph" w:customStyle="1" w:styleId="Bulletedlistlevel2">
    <w:name w:val="Bulleted list level 2"/>
    <w:basedOn w:val="Normal"/>
    <w:rsid w:val="007648C3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meetings/fr/doc_details.jsp?doc_id=4366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fr/doc_details.jsp?doc_id=43663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E2F7-2E05-4E18-B657-5979E7BA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(F)</Template>
  <TotalTime>0</TotalTime>
  <Pages>6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</vt:lpstr>
    </vt:vector>
  </TitlesOfParts>
  <Company>WIPO</Company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CWS/9/20</dc:title>
  <dc:creator>WIPO</dc:creator>
  <cp:keywords>FOR OFFICIAL USE ONLY</cp:keywords>
  <cp:lastModifiedBy>CHAVAS Louison</cp:lastModifiedBy>
  <cp:revision>2</cp:revision>
  <cp:lastPrinted>2011-05-19T12:37:00Z</cp:lastPrinted>
  <dcterms:created xsi:type="dcterms:W3CDTF">2021-09-21T15:18:00Z</dcterms:created>
  <dcterms:modified xsi:type="dcterms:W3CDTF">2021-09-21T15:18:00Z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eb7a0301-a09b-4b7d-bf25-247b90ccf23d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