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BA343C" w:rsidRDefault="0040540C" w:rsidP="00BA343C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bookmarkStart w:id="0" w:name="_GoBack"/>
      <w:bookmarkEnd w:id="0"/>
      <w:r w:rsidRPr="00BA343C">
        <w:rPr>
          <w:noProof/>
          <w:lang w:val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BA343C" w:rsidRDefault="004527EA" w:rsidP="00BA343C">
      <w:pPr>
        <w:jc w:val="right"/>
        <w:rPr>
          <w:rFonts w:ascii="Arial Black" w:hAnsi="Arial Black"/>
          <w:caps/>
          <w:sz w:val="15"/>
          <w:lang w:val="fr-FR"/>
        </w:rPr>
      </w:pPr>
      <w:r w:rsidRPr="00BA343C">
        <w:rPr>
          <w:rFonts w:ascii="Arial Black" w:hAnsi="Arial Black"/>
          <w:caps/>
          <w:sz w:val="15"/>
          <w:lang w:val="fr-FR"/>
        </w:rPr>
        <w:t>CWS/9/</w:t>
      </w:r>
      <w:bookmarkStart w:id="1" w:name="Code"/>
      <w:bookmarkEnd w:id="1"/>
      <w:r w:rsidR="001D68F5" w:rsidRPr="00BA343C">
        <w:rPr>
          <w:rFonts w:ascii="Arial Black" w:hAnsi="Arial Black"/>
          <w:caps/>
          <w:sz w:val="15"/>
          <w:lang w:val="fr-FR"/>
        </w:rPr>
        <w:t>9</w:t>
      </w:r>
    </w:p>
    <w:p w:rsidR="008B2CC1" w:rsidRPr="00BA343C" w:rsidRDefault="00B1090C" w:rsidP="00BA343C">
      <w:pPr>
        <w:jc w:val="right"/>
        <w:rPr>
          <w:lang w:val="fr-FR"/>
        </w:rPr>
      </w:pPr>
      <w:r w:rsidRPr="00BA343C">
        <w:rPr>
          <w:rFonts w:ascii="Arial Black" w:hAnsi="Arial Black"/>
          <w:caps/>
          <w:sz w:val="15"/>
          <w:lang w:val="fr-FR"/>
        </w:rPr>
        <w:t>ORIGINAL</w:t>
      </w:r>
      <w:r w:rsidR="003E0702" w:rsidRPr="00BA343C">
        <w:rPr>
          <w:rFonts w:ascii="Arial Black" w:hAnsi="Arial Black"/>
          <w:caps/>
          <w:sz w:val="15"/>
          <w:lang w:val="fr-FR"/>
        </w:rPr>
        <w:t> :</w:t>
      </w:r>
      <w:r w:rsidR="002956DE" w:rsidRPr="00BA343C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1D68F5" w:rsidRPr="00BA343C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BA343C" w:rsidRDefault="00B1090C" w:rsidP="00BA343C">
      <w:pPr>
        <w:spacing w:after="1200"/>
        <w:jc w:val="right"/>
        <w:rPr>
          <w:lang w:val="fr-FR"/>
        </w:rPr>
      </w:pPr>
      <w:r w:rsidRPr="00BA343C">
        <w:rPr>
          <w:rFonts w:ascii="Arial Black" w:hAnsi="Arial Black"/>
          <w:caps/>
          <w:sz w:val="15"/>
          <w:lang w:val="fr-FR"/>
        </w:rPr>
        <w:t>DATE</w:t>
      </w:r>
      <w:r w:rsidR="003E0702" w:rsidRPr="00BA343C">
        <w:rPr>
          <w:rFonts w:ascii="Arial Black" w:hAnsi="Arial Black"/>
          <w:caps/>
          <w:sz w:val="15"/>
          <w:lang w:val="fr-FR"/>
        </w:rPr>
        <w:t> :</w:t>
      </w:r>
      <w:r w:rsidR="002956DE" w:rsidRPr="00BA343C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1D68F5" w:rsidRPr="00BA343C">
        <w:rPr>
          <w:rFonts w:ascii="Arial Black" w:hAnsi="Arial Black"/>
          <w:caps/>
          <w:sz w:val="15"/>
          <w:lang w:val="fr-FR"/>
        </w:rPr>
        <w:t>16 septembre 2021</w:t>
      </w:r>
    </w:p>
    <w:bookmarkEnd w:id="3"/>
    <w:p w:rsidR="003845C1" w:rsidRPr="00BA343C" w:rsidRDefault="00037E41" w:rsidP="00BA343C">
      <w:pPr>
        <w:pStyle w:val="Title"/>
        <w:rPr>
          <w:rFonts w:ascii="Arial Bold" w:hAnsi="Arial Bold" w:hint="eastAsia"/>
          <w:caps w:val="0"/>
          <w:spacing w:val="0"/>
          <w:lang w:val="fr-FR"/>
        </w:rPr>
      </w:pPr>
      <w:r w:rsidRPr="00BA343C">
        <w:rPr>
          <w:rFonts w:ascii="Arial Bold" w:hAnsi="Arial Bold"/>
          <w:caps w:val="0"/>
          <w:spacing w:val="0"/>
          <w:lang w:val="fr-FR"/>
        </w:rPr>
        <w:t>Comité des normes de l</w:t>
      </w:r>
      <w:r w:rsidR="003E0702" w:rsidRPr="00BA343C">
        <w:rPr>
          <w:rFonts w:ascii="Arial Bold" w:hAnsi="Arial Bold"/>
          <w:caps w:val="0"/>
          <w:spacing w:val="0"/>
          <w:lang w:val="fr-FR"/>
        </w:rPr>
        <w:t>’</w:t>
      </w:r>
      <w:r w:rsidRPr="00BA343C">
        <w:rPr>
          <w:rFonts w:ascii="Arial Bold" w:hAnsi="Arial Bold"/>
          <w:caps w:val="0"/>
          <w:spacing w:val="0"/>
          <w:lang w:val="fr-FR"/>
        </w:rPr>
        <w:t>OMPI (CWS)</w:t>
      </w:r>
    </w:p>
    <w:p w:rsidR="00FE19E9" w:rsidRPr="00BA343C" w:rsidRDefault="00037E41" w:rsidP="00BA343C">
      <w:pPr>
        <w:outlineLvl w:val="1"/>
        <w:rPr>
          <w:b/>
          <w:sz w:val="28"/>
          <w:szCs w:val="28"/>
          <w:lang w:val="fr-FR"/>
        </w:rPr>
      </w:pPr>
      <w:r w:rsidRPr="00BA343C">
        <w:rPr>
          <w:b/>
          <w:sz w:val="24"/>
          <w:lang w:val="fr-FR"/>
        </w:rPr>
        <w:t>Neuv</w:t>
      </w:r>
      <w:r w:rsidR="003E0702" w:rsidRPr="00BA343C">
        <w:rPr>
          <w:b/>
          <w:sz w:val="24"/>
          <w:lang w:val="fr-FR"/>
        </w:rPr>
        <w:t>ième session</w:t>
      </w:r>
    </w:p>
    <w:p w:rsidR="008B2CC1" w:rsidRPr="00BA343C" w:rsidRDefault="00037E41" w:rsidP="00BA343C">
      <w:pPr>
        <w:spacing w:after="1200"/>
        <w:outlineLvl w:val="1"/>
        <w:rPr>
          <w:b/>
          <w:sz w:val="24"/>
          <w:szCs w:val="24"/>
          <w:lang w:val="fr-FR"/>
        </w:rPr>
      </w:pPr>
      <w:r w:rsidRPr="00BA343C">
        <w:rPr>
          <w:b/>
          <w:sz w:val="24"/>
          <w:szCs w:val="24"/>
          <w:lang w:val="fr-FR"/>
        </w:rPr>
        <w:t>Genève, 1</w:t>
      </w:r>
      <w:r w:rsidRPr="00BA343C">
        <w:rPr>
          <w:b/>
          <w:sz w:val="24"/>
          <w:szCs w:val="24"/>
          <w:vertAlign w:val="superscript"/>
          <w:lang w:val="fr-FR"/>
        </w:rPr>
        <w:t>er</w:t>
      </w:r>
      <w:r w:rsidR="00BA343C" w:rsidRPr="00BA343C">
        <w:rPr>
          <w:b/>
          <w:sz w:val="24"/>
          <w:szCs w:val="24"/>
          <w:lang w:val="fr-FR"/>
        </w:rPr>
        <w:t xml:space="preserve"> </w:t>
      </w:r>
      <w:r w:rsidRPr="00BA343C">
        <w:rPr>
          <w:b/>
          <w:sz w:val="24"/>
          <w:szCs w:val="24"/>
          <w:lang w:val="fr-FR"/>
        </w:rPr>
        <w:t xml:space="preserve">– </w:t>
      </w:r>
      <w:r w:rsidR="003E0702" w:rsidRPr="00BA343C">
        <w:rPr>
          <w:b/>
          <w:sz w:val="24"/>
          <w:szCs w:val="24"/>
          <w:lang w:val="fr-FR"/>
        </w:rPr>
        <w:t>5 novembre 20</w:t>
      </w:r>
      <w:r w:rsidRPr="00BA343C">
        <w:rPr>
          <w:b/>
          <w:sz w:val="24"/>
          <w:szCs w:val="24"/>
          <w:lang w:val="fr-FR"/>
        </w:rPr>
        <w:t>21</w:t>
      </w:r>
    </w:p>
    <w:p w:rsidR="008B2CC1" w:rsidRPr="00BA343C" w:rsidRDefault="001D68F5" w:rsidP="00BA343C">
      <w:pPr>
        <w:spacing w:after="360"/>
        <w:rPr>
          <w:caps/>
          <w:sz w:val="24"/>
          <w:lang w:val="fr-FR"/>
        </w:rPr>
      </w:pPr>
      <w:bookmarkStart w:id="4" w:name="TitleOfDoc"/>
      <w:r w:rsidRPr="00BA343C">
        <w:rPr>
          <w:caps/>
          <w:sz w:val="24"/>
          <w:lang w:val="fr-FR"/>
        </w:rPr>
        <w:t>Proposition de révision de la norme</w:t>
      </w:r>
      <w:r w:rsidR="00E427C4" w:rsidRPr="00BA343C">
        <w:rPr>
          <w:caps/>
          <w:sz w:val="24"/>
          <w:lang w:val="fr-FR"/>
        </w:rPr>
        <w:t> </w:t>
      </w:r>
      <w:r w:rsidRPr="00BA343C">
        <w:rPr>
          <w:caps/>
          <w:sz w:val="24"/>
          <w:lang w:val="fr-FR"/>
        </w:rPr>
        <w:t>ST.27 de l</w:t>
      </w:r>
      <w:r w:rsidR="003E0702" w:rsidRPr="00BA343C">
        <w:rPr>
          <w:caps/>
          <w:sz w:val="24"/>
          <w:lang w:val="fr-FR"/>
        </w:rPr>
        <w:t>’</w:t>
      </w:r>
      <w:r w:rsidRPr="00BA343C">
        <w:rPr>
          <w:caps/>
          <w:sz w:val="24"/>
          <w:lang w:val="fr-FR"/>
        </w:rPr>
        <w:t>OMPI</w:t>
      </w:r>
    </w:p>
    <w:p w:rsidR="008B2CC1" w:rsidRPr="00BA343C" w:rsidRDefault="001D68F5" w:rsidP="00BA343C">
      <w:pPr>
        <w:spacing w:after="1040"/>
        <w:rPr>
          <w:i/>
          <w:lang w:val="fr-FR"/>
        </w:rPr>
      </w:pPr>
      <w:bookmarkStart w:id="5" w:name="Prepared"/>
      <w:bookmarkEnd w:id="4"/>
      <w:bookmarkEnd w:id="5"/>
      <w:r w:rsidRPr="00BA343C">
        <w:rPr>
          <w:i/>
          <w:lang w:val="fr-FR"/>
        </w:rPr>
        <w:t>Document établi par le responsable de l</w:t>
      </w:r>
      <w:r w:rsidR="003E0702" w:rsidRPr="00BA343C">
        <w:rPr>
          <w:i/>
          <w:lang w:val="fr-FR"/>
        </w:rPr>
        <w:t>’</w:t>
      </w:r>
      <w:r w:rsidRPr="00BA343C">
        <w:rPr>
          <w:i/>
          <w:lang w:val="fr-FR"/>
        </w:rPr>
        <w:t>Équipe d</w:t>
      </w:r>
      <w:r w:rsidR="003E0702" w:rsidRPr="00BA343C">
        <w:rPr>
          <w:i/>
          <w:lang w:val="fr-FR"/>
        </w:rPr>
        <w:t>’</w:t>
      </w:r>
      <w:r w:rsidRPr="00BA343C">
        <w:rPr>
          <w:i/>
          <w:lang w:val="fr-FR"/>
        </w:rPr>
        <w:t>experts chargée de la situation juridique</w:t>
      </w:r>
    </w:p>
    <w:p w:rsidR="001D68F5" w:rsidRPr="00BA343C" w:rsidRDefault="00B36BEA" w:rsidP="00B36BEA">
      <w:pPr>
        <w:pStyle w:val="Heading2"/>
        <w:rPr>
          <w:lang w:val="fr-FR"/>
        </w:rPr>
      </w:pPr>
      <w:r w:rsidRPr="00BA343C">
        <w:rPr>
          <w:lang w:val="fr-FR"/>
        </w:rPr>
        <w:t>Rappel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lang w:val="fr-FR"/>
        </w:rPr>
        <w:t>À sa sept</w:t>
      </w:r>
      <w:r w:rsidR="003E0702" w:rsidRPr="00BA343C">
        <w:rPr>
          <w:lang w:val="fr-FR"/>
        </w:rPr>
        <w:t>ième session</w:t>
      </w:r>
      <w:r w:rsidRPr="00BA343C">
        <w:rPr>
          <w:lang w:val="fr-FR"/>
        </w:rPr>
        <w:t xml:space="preserve"> tenue </w:t>
      </w:r>
      <w:r w:rsidR="003E0702" w:rsidRPr="00BA343C">
        <w:rPr>
          <w:lang w:val="fr-FR"/>
        </w:rPr>
        <w:t>en 2019</w:t>
      </w:r>
      <w:r w:rsidRPr="00BA343C">
        <w:rPr>
          <w:lang w:val="fr-FR"/>
        </w:rPr>
        <w:t>, le Comité des normes de l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OMPI (CWS) a approuvé une proposition tendant à ajouter trois</w:t>
      </w:r>
      <w:r w:rsidR="00E427C4" w:rsidRPr="00BA343C">
        <w:rPr>
          <w:lang w:val="fr-FR"/>
        </w:rPr>
        <w:t> </w:t>
      </w:r>
      <w:r w:rsidRPr="00BA343C">
        <w:rPr>
          <w:lang w:val="fr-FR"/>
        </w:rPr>
        <w:t>caractères réservés au codage des événements relatifs à la situation juridique des brevets visés par la norme</w:t>
      </w:r>
      <w:r w:rsidR="00E427C4" w:rsidRPr="00BA343C">
        <w:rPr>
          <w:lang w:val="fr-FR"/>
        </w:rPr>
        <w:t> </w:t>
      </w:r>
      <w:r w:rsidRPr="00BA343C">
        <w:rPr>
          <w:lang w:val="fr-FR"/>
        </w:rPr>
        <w:t>ST.27 de l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O</w:t>
      </w:r>
      <w:r w:rsidR="00BA343C" w:rsidRPr="00BA343C">
        <w:rPr>
          <w:lang w:val="fr-FR"/>
        </w:rPr>
        <w:t>MPI.  Ce</w:t>
      </w:r>
      <w:r w:rsidRPr="00BA343C">
        <w:rPr>
          <w:lang w:val="fr-FR"/>
        </w:rPr>
        <w:t>s caractères ont été fixés sous la forme</w:t>
      </w:r>
      <w:r w:rsidR="00B36BEA">
        <w:rPr>
          <w:lang w:val="fr-FR"/>
        </w:rPr>
        <w:t> </w:t>
      </w:r>
      <w:r w:rsidR="003E0702" w:rsidRPr="00BA343C">
        <w:rPr>
          <w:lang w:val="fr-FR"/>
        </w:rPr>
        <w:t>“x</w:t>
      </w:r>
      <w:r w:rsidRPr="00BA343C">
        <w:rPr>
          <w:lang w:val="fr-FR"/>
        </w:rPr>
        <w:t>x</w:t>
      </w:r>
      <w:r w:rsidR="003E0702" w:rsidRPr="00BA343C">
        <w:rPr>
          <w:lang w:val="fr-FR"/>
        </w:rPr>
        <w:t>x”</w:t>
      </w:r>
      <w:r w:rsidRPr="00BA343C">
        <w:rPr>
          <w:lang w:val="fr-FR"/>
        </w:rPr>
        <w:t xml:space="preserve"> et réservés à une éventuelle utilisation futu</w:t>
      </w:r>
      <w:r w:rsidR="00BA343C" w:rsidRPr="00BA343C">
        <w:rPr>
          <w:lang w:val="fr-FR"/>
        </w:rPr>
        <w:t>re.  L’</w:t>
      </w:r>
      <w:r w:rsidR="00F06D4F" w:rsidRPr="00BA343C">
        <w:rPr>
          <w:lang w:val="fr-FR"/>
        </w:rPr>
        <w:t>É</w:t>
      </w:r>
      <w:r w:rsidRPr="00BA343C">
        <w:rPr>
          <w:lang w:val="fr-FR"/>
        </w:rPr>
        <w:t>quipe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experts chargée de la situation juridique prévoyait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étudier les utilisations possibles des caractères réservés et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établir une proposition qui serait soumise à l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examen</w:t>
      </w:r>
      <w:r w:rsidR="003E0702" w:rsidRPr="00BA343C">
        <w:rPr>
          <w:lang w:val="fr-FR"/>
        </w:rPr>
        <w:t xml:space="preserve"> du CWS</w:t>
      </w:r>
      <w:r w:rsidRPr="00BA343C">
        <w:rPr>
          <w:lang w:val="fr-FR"/>
        </w:rPr>
        <w:t xml:space="preserve">. </w:t>
      </w:r>
      <w:r w:rsidR="00E427C4" w:rsidRPr="00BA343C">
        <w:rPr>
          <w:lang w:val="fr-FR"/>
        </w:rPr>
        <w:t xml:space="preserve"> </w:t>
      </w:r>
      <w:r w:rsidRPr="00BA343C">
        <w:rPr>
          <w:lang w:val="fr-FR"/>
        </w:rPr>
        <w:t xml:space="preserve">(Voir les </w:t>
      </w:r>
      <w:r w:rsidR="003E0702" w:rsidRPr="00BA343C">
        <w:rPr>
          <w:lang w:val="fr-FR"/>
        </w:rPr>
        <w:t>paragraphes 1</w:t>
      </w:r>
      <w:r w:rsidRPr="00BA343C">
        <w:rPr>
          <w:lang w:val="fr-FR"/>
        </w:rPr>
        <w:t>20 à 122 du document CWS/7/29.)</w:t>
      </w:r>
    </w:p>
    <w:p w:rsidR="001D68F5" w:rsidRPr="00BA343C" w:rsidRDefault="00B36BEA" w:rsidP="00B36BEA">
      <w:pPr>
        <w:pStyle w:val="Heading2"/>
        <w:rPr>
          <w:lang w:val="fr-FR"/>
        </w:rPr>
      </w:pPr>
      <w:r>
        <w:rPr>
          <w:lang w:val="fr-FR"/>
        </w:rPr>
        <w:t>P</w:t>
      </w:r>
      <w:r w:rsidRPr="00BA343C">
        <w:rPr>
          <w:lang w:val="fr-FR"/>
        </w:rPr>
        <w:t>roposition de révision de la norme</w:t>
      </w:r>
      <w:r>
        <w:rPr>
          <w:lang w:val="fr-FR"/>
        </w:rPr>
        <w:t> ST</w:t>
      </w:r>
      <w:r w:rsidRPr="00BA343C">
        <w:rPr>
          <w:lang w:val="fr-FR"/>
        </w:rPr>
        <w:t>.27 de l’OMPI</w:t>
      </w:r>
    </w:p>
    <w:p w:rsidR="003E0702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>Un groupe de membres de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experts a débattu à plusieurs reprises </w:t>
      </w:r>
      <w:r w:rsidR="003E0702" w:rsidRPr="00BA343C">
        <w:rPr>
          <w:color w:val="000000"/>
          <w:lang w:val="fr-FR"/>
        </w:rPr>
        <w:t>en 2020</w:t>
      </w:r>
      <w:r w:rsidRPr="00BA343C">
        <w:rPr>
          <w:color w:val="000000"/>
          <w:lang w:val="fr-FR"/>
        </w:rPr>
        <w:t xml:space="preserve"> et 2021 de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utilisation potentielle des caractères réserv</w:t>
      </w:r>
      <w:r w:rsidR="00BA343C" w:rsidRPr="00BA343C">
        <w:rPr>
          <w:color w:val="000000"/>
          <w:lang w:val="fr-FR"/>
        </w:rPr>
        <w:t>és.  Ce</w:t>
      </w:r>
      <w:r w:rsidRPr="00BA343C">
        <w:rPr>
          <w:color w:val="000000"/>
          <w:lang w:val="fr-FR"/>
        </w:rPr>
        <w:t xml:space="preserve"> groupe a établi une proposition dénommée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de procédur</w:t>
      </w:r>
      <w:r w:rsidR="003E0702" w:rsidRPr="00BA343C">
        <w:rPr>
          <w:color w:val="000000"/>
          <w:lang w:val="fr-FR"/>
        </w:rPr>
        <w:t>e”</w:t>
      </w:r>
      <w:r w:rsidRPr="00BA343C">
        <w:rPr>
          <w:color w:val="000000"/>
          <w:lang w:val="fr-FR"/>
        </w:rPr>
        <w:t>, qui a été présentée 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experts en </w:t>
      </w:r>
      <w:r w:rsidR="003E0702" w:rsidRPr="00BA343C">
        <w:rPr>
          <w:color w:val="000000"/>
          <w:lang w:val="fr-FR"/>
        </w:rPr>
        <w:t>août 20</w:t>
      </w:r>
      <w:r w:rsidRPr="00BA343C">
        <w:rPr>
          <w:color w:val="000000"/>
          <w:lang w:val="fr-FR"/>
        </w:rPr>
        <w:t>21. 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experts est convenue de recommander la proposition relative aux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de procédur</w:t>
      </w:r>
      <w:r w:rsidR="003E0702" w:rsidRPr="00BA343C">
        <w:rPr>
          <w:color w:val="000000"/>
          <w:lang w:val="fr-FR"/>
        </w:rPr>
        <w:t>e”</w:t>
      </w:r>
      <w:r w:rsidRPr="00BA343C">
        <w:rPr>
          <w:color w:val="000000"/>
          <w:lang w:val="fr-FR"/>
        </w:rPr>
        <w:t xml:space="preserve"> à insérer dans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 pour examen par</w:t>
      </w:r>
      <w:r w:rsidR="003E0702" w:rsidRPr="00BA343C">
        <w:rPr>
          <w:color w:val="000000"/>
          <w:lang w:val="fr-FR"/>
        </w:rPr>
        <w:t xml:space="preserve"> le CWS</w:t>
      </w:r>
      <w:r w:rsidRPr="00BA343C">
        <w:rPr>
          <w:color w:val="000000"/>
          <w:lang w:val="fr-FR"/>
        </w:rPr>
        <w:t>, comme indiqué ci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après.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>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experts pense que les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de procédur</w:t>
      </w:r>
      <w:r w:rsidR="003E0702" w:rsidRPr="00BA343C">
        <w:rPr>
          <w:color w:val="000000"/>
          <w:lang w:val="fr-FR"/>
        </w:rPr>
        <w:t>e”</w:t>
      </w:r>
      <w:r w:rsidRPr="00BA343C">
        <w:rPr>
          <w:color w:val="000000"/>
          <w:lang w:val="fr-FR"/>
        </w:rPr>
        <w:t xml:space="preserve"> seraient également utiles en ce qui concerne la situation juridique des dessins et modèles industriels (norme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ST.87) et des marques (norme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ST.61) et se propose de travailler à leur adaptation et à leur incorporation dans les normes en questi</w:t>
      </w:r>
      <w:r w:rsidR="00BA343C" w:rsidRPr="00BA343C">
        <w:rPr>
          <w:color w:val="000000"/>
          <w:lang w:val="fr-FR"/>
        </w:rPr>
        <w:t>on.  Si</w:t>
      </w:r>
      <w:r w:rsidRPr="00BA343C">
        <w:rPr>
          <w:color w:val="000000"/>
          <w:lang w:val="fr-FR"/>
        </w:rPr>
        <w:t xml:space="preserve"> cette possibilité est approuvée, une proposition de révision desdites normes sera présentée à la dix</w:t>
      </w:r>
      <w:r w:rsidR="003E0702" w:rsidRPr="00BA343C">
        <w:rPr>
          <w:color w:val="000000"/>
          <w:lang w:val="fr-FR"/>
        </w:rPr>
        <w:t>ième session du CWS</w:t>
      </w:r>
      <w:r w:rsidRPr="00BA343C">
        <w:rPr>
          <w:color w:val="000000"/>
          <w:lang w:val="fr-FR"/>
        </w:rPr>
        <w:t>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lastRenderedPageBreak/>
        <w:t>Dans le cadre de ce travail, le Bureau international a suggéré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actualiser la terminologie et la présentation des caractères réservés, compte tenu de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expérience que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experts aura acqui</w:t>
      </w:r>
      <w:r w:rsidR="00BA343C" w:rsidRPr="00BA343C">
        <w:rPr>
          <w:color w:val="000000"/>
          <w:lang w:val="fr-FR"/>
        </w:rPr>
        <w:t>se.  L’é</w:t>
      </w:r>
      <w:r w:rsidRPr="00BA343C">
        <w:rPr>
          <w:color w:val="000000"/>
          <w:lang w:val="fr-FR"/>
        </w:rPr>
        <w:t>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experts a accepté de proposer une terminologie actualisée dont il sera question dans la suite du présent document sous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intitulé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</w:t>
      </w:r>
      <w:r w:rsidR="003E0702" w:rsidRPr="00BA343C">
        <w:rPr>
          <w:color w:val="000000"/>
          <w:lang w:val="fr-FR"/>
        </w:rPr>
        <w:t>s”</w:t>
      </w:r>
      <w:r w:rsidRPr="00BA343C">
        <w:rPr>
          <w:color w:val="000000"/>
          <w:lang w:val="fr-FR"/>
        </w:rPr>
        <w:t>.  Ces actualisations ayant un caractère générique,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experts recommande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appliquer la proposition relative aux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</w:t>
      </w:r>
      <w:r w:rsidR="003E0702" w:rsidRPr="00BA343C">
        <w:rPr>
          <w:color w:val="000000"/>
          <w:lang w:val="fr-FR"/>
        </w:rPr>
        <w:t>s”</w:t>
      </w:r>
      <w:r w:rsidRPr="00BA343C">
        <w:rPr>
          <w:color w:val="000000"/>
          <w:lang w:val="fr-FR"/>
        </w:rPr>
        <w:t xml:space="preserve"> aux trois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normes concernant la situation juridiq</w:t>
      </w:r>
      <w:r w:rsidR="00BA343C" w:rsidRPr="00BA343C">
        <w:rPr>
          <w:color w:val="000000"/>
          <w:lang w:val="fr-FR"/>
        </w:rPr>
        <w:t>ue.  Le</w:t>
      </w:r>
      <w:r w:rsidRPr="00BA343C">
        <w:rPr>
          <w:color w:val="000000"/>
          <w:lang w:val="fr-FR"/>
        </w:rPr>
        <w:t>s trois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normes seraient ainsi harmonisées puisqu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elles intégreraient toutes les caractères réservés.</w:t>
      </w:r>
    </w:p>
    <w:p w:rsidR="001D68F5" w:rsidRPr="00BA343C" w:rsidRDefault="00B36BEA" w:rsidP="00B36BEA">
      <w:pPr>
        <w:pStyle w:val="Heading2"/>
        <w:rPr>
          <w:lang w:val="fr-FR"/>
        </w:rPr>
      </w:pPr>
      <w:r>
        <w:rPr>
          <w:lang w:val="fr-FR"/>
        </w:rPr>
        <w:t>P</w:t>
      </w:r>
      <w:r w:rsidRPr="00BA343C">
        <w:rPr>
          <w:lang w:val="fr-FR"/>
        </w:rPr>
        <w:t>roposition relative aux indicateurs d’événements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 xml:space="preserve">La proposition relative aux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</w:t>
      </w:r>
      <w:r w:rsidR="003E0702" w:rsidRPr="00BA343C">
        <w:rPr>
          <w:color w:val="000000"/>
          <w:lang w:val="fr-FR"/>
        </w:rPr>
        <w:t>s”</w:t>
      </w:r>
      <w:r w:rsidRPr="00BA343C">
        <w:rPr>
          <w:color w:val="000000"/>
          <w:lang w:val="fr-FR"/>
        </w:rPr>
        <w:t xml:space="preserve"> renferme une nouvelle terminologie associée aux caractères réserv</w:t>
      </w:r>
      <w:r w:rsidR="00BA343C" w:rsidRPr="00BA343C">
        <w:rPr>
          <w:color w:val="000000"/>
          <w:lang w:val="fr-FR"/>
        </w:rPr>
        <w:t>és.  Il</w:t>
      </w:r>
      <w:r w:rsidRPr="00BA343C">
        <w:rPr>
          <w:color w:val="000000"/>
          <w:lang w:val="fr-FR"/>
        </w:rPr>
        <w:t xml:space="preserve"> est proposé de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appliquer aux trois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 xml:space="preserve">normes relatives à la situation juridique, </w:t>
      </w:r>
      <w:r w:rsidR="003E0702" w:rsidRPr="00BA343C">
        <w:rPr>
          <w:color w:val="000000"/>
          <w:lang w:val="fr-FR"/>
        </w:rPr>
        <w:t>à savoir</w:t>
      </w:r>
      <w:r w:rsidRPr="00BA343C">
        <w:rPr>
          <w:color w:val="000000"/>
          <w:lang w:val="fr-FR"/>
        </w:rPr>
        <w:t xml:space="preserve"> les normes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 (brevets), ST.61 (marques) et ST.87 (dessins et modèles industriels).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>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heure actuelle, ces trois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normes répertorient les renseignements relatifs aux événements à peu près de la même maniè</w:t>
      </w:r>
      <w:r w:rsidR="00BA343C" w:rsidRPr="00BA343C">
        <w:rPr>
          <w:color w:val="000000"/>
          <w:lang w:val="fr-FR"/>
        </w:rPr>
        <w:t>re.  Le</w:t>
      </w:r>
      <w:r w:rsidRPr="00BA343C">
        <w:rPr>
          <w:color w:val="000000"/>
          <w:lang w:val="fr-FR"/>
        </w:rPr>
        <w:t>s événements pertinents dans un office de propriété intellectuelle sont répertoriés 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aide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un code de situation, défini comme suit par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</w:t>
      </w:r>
      <w:r w:rsidR="003E0702" w:rsidRPr="00BA343C">
        <w:rPr>
          <w:color w:val="000000"/>
          <w:lang w:val="fr-FR"/>
        </w:rPr>
        <w:t> :</w:t>
      </w:r>
    </w:p>
    <w:p w:rsidR="003E0702" w:rsidRPr="00BA343C" w:rsidRDefault="001D68F5" w:rsidP="00B36BEA">
      <w:pPr>
        <w:pStyle w:val="ONUMFS"/>
        <w:numPr>
          <w:ilvl w:val="0"/>
          <w:numId w:val="0"/>
        </w:numPr>
        <w:tabs>
          <w:tab w:val="left" w:pos="1134"/>
        </w:tabs>
        <w:ind w:left="567"/>
        <w:rPr>
          <w:lang w:val="fr-FR"/>
        </w:rPr>
      </w:pPr>
      <w:r w:rsidRPr="00BA343C">
        <w:rPr>
          <w:lang w:val="fr-FR"/>
        </w:rPr>
        <w:t>“27.</w:t>
      </w:r>
      <w:r w:rsidR="00B36BEA">
        <w:rPr>
          <w:lang w:val="fr-FR"/>
        </w:rPr>
        <w:tab/>
      </w:r>
      <w:r w:rsidRPr="00BA343C">
        <w:rPr>
          <w:lang w:val="fr-FR"/>
        </w:rPr>
        <w:t>Le code de situation ci</w:t>
      </w:r>
      <w:r w:rsidR="00B36BEA">
        <w:rPr>
          <w:lang w:val="fr-FR"/>
        </w:rPr>
        <w:noBreakHyphen/>
      </w:r>
      <w:r w:rsidRPr="00BA343C">
        <w:rPr>
          <w:lang w:val="fr-FR"/>
        </w:rPr>
        <w:t>dessous décrit la structure du code sans en représenter nécessairement l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aspect final ni sa représentation au format XML.</w:t>
      </w:r>
    </w:p>
    <w:p w:rsidR="001D68F5" w:rsidRPr="00BA343C" w:rsidRDefault="001D68F5" w:rsidP="00B36BEA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BA343C">
        <w:rPr>
          <w:lang w:val="fr-FR"/>
        </w:rPr>
        <w:t>[État – Du stade (précédent) – Au stade (actuel) – Événement principal – Événement détaillé – Événement national/régional]”.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>Dans les normes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ST.61 et ST.87, un code de situation se présente comme suit</w:t>
      </w:r>
      <w:r w:rsidR="003E0702" w:rsidRPr="00BA343C">
        <w:rPr>
          <w:color w:val="000000"/>
          <w:lang w:val="fr-FR"/>
        </w:rPr>
        <w:t> :</w:t>
      </w:r>
      <w:r w:rsidRPr="00BA343C">
        <w:rPr>
          <w:color w:val="000000"/>
          <w:lang w:val="fr-FR"/>
        </w:rPr>
        <w:t xml:space="preserve"> N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0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6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B10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B11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R120. 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 suit le même format, mais prévoit trois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caractères réservés pour les champs concernant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 principal et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 détaillé, qui sont représentés par trois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x, comme suit</w:t>
      </w:r>
      <w:r w:rsidR="003E0702" w:rsidRPr="00BA343C">
        <w:rPr>
          <w:color w:val="000000"/>
          <w:lang w:val="fr-FR"/>
        </w:rPr>
        <w:t> :</w:t>
      </w:r>
      <w:r w:rsidRPr="00BA343C">
        <w:rPr>
          <w:color w:val="000000"/>
          <w:lang w:val="fr-FR"/>
        </w:rPr>
        <w:t xml:space="preserve"> N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0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6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B10xxx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B11xxx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R120.</w:t>
      </w:r>
    </w:p>
    <w:p w:rsidR="003E0702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>Dans le cadre de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élaboration des propositions concernant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utilisation des caractères réservés,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experts est parvenue à la conclusion qu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il n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était pas souhaitable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ajouter des caractères réservés aux codes de situati</w:t>
      </w:r>
      <w:r w:rsidR="00BA343C" w:rsidRPr="00BA343C">
        <w:rPr>
          <w:color w:val="000000"/>
          <w:lang w:val="fr-FR"/>
        </w:rPr>
        <w:t>on.  L’u</w:t>
      </w:r>
      <w:r w:rsidRPr="00BA343C">
        <w:rPr>
          <w:color w:val="000000"/>
          <w:lang w:val="fr-FR"/>
        </w:rPr>
        <w:t>tilisation de caractères réservés ajoute en effet des informations sur un événement aux codes de situation existan</w:t>
      </w:r>
      <w:r w:rsidR="00BA343C" w:rsidRPr="00BA343C">
        <w:rPr>
          <w:color w:val="000000"/>
          <w:lang w:val="fr-FR"/>
        </w:rPr>
        <w:t>ts.  De</w:t>
      </w:r>
      <w:r w:rsidRPr="00BA343C">
        <w:rPr>
          <w:color w:val="000000"/>
          <w:lang w:val="fr-FR"/>
        </w:rPr>
        <w:t xml:space="preserve"> surcroît, les renseignements supplémentaires s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appliquent 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ensemble de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 auquel fait référence le code de situation, et pas uniquement 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 principal ou 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 détaillé.</w:t>
      </w:r>
    </w:p>
    <w:p w:rsidR="003E0702" w:rsidRPr="00BA343C" w:rsidRDefault="001D68F5" w:rsidP="00B36BEA">
      <w:pPr>
        <w:pStyle w:val="ONUMFS"/>
        <w:rPr>
          <w:color w:val="000000"/>
          <w:lang w:val="fr-FR"/>
        </w:rPr>
      </w:pPr>
      <w:r w:rsidRPr="00BA343C">
        <w:rPr>
          <w:color w:val="000000"/>
          <w:lang w:val="fr-FR"/>
        </w:rPr>
        <w:t>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experts recommande par conséquent de créer un champ distinct dans les codes de situation pour les éventuelles utilisations des caractères réserv</w:t>
      </w:r>
      <w:r w:rsidR="00BA343C" w:rsidRPr="00BA343C">
        <w:rPr>
          <w:color w:val="000000"/>
          <w:lang w:val="fr-FR"/>
        </w:rPr>
        <w:t>és.  Le</w:t>
      </w:r>
      <w:r w:rsidRPr="00BA343C">
        <w:rPr>
          <w:color w:val="000000"/>
          <w:lang w:val="fr-FR"/>
        </w:rPr>
        <w:t xml:space="preserve"> nouveau champ sera dénommé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</w:t>
      </w:r>
      <w:r w:rsidR="003E0702" w:rsidRPr="00BA343C">
        <w:rPr>
          <w:color w:val="000000"/>
          <w:lang w:val="fr-FR"/>
        </w:rPr>
        <w:t>t”</w:t>
      </w:r>
      <w:r w:rsidRPr="00BA343C">
        <w:rPr>
          <w:color w:val="000000"/>
          <w:lang w:val="fr-FR"/>
        </w:rPr>
        <w:t>, et sera placé immédiatement après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 détaillé dans le code de situati</w:t>
      </w:r>
      <w:r w:rsidR="00BA343C" w:rsidRPr="00BA343C">
        <w:rPr>
          <w:color w:val="000000"/>
          <w:lang w:val="fr-FR"/>
        </w:rPr>
        <w:t>on.  Ce</w:t>
      </w:r>
      <w:r w:rsidRPr="00BA343C">
        <w:rPr>
          <w:color w:val="000000"/>
          <w:lang w:val="fr-FR"/>
        </w:rPr>
        <w:t>tte présentation est plus claire pour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utilisateur fin</w:t>
      </w:r>
      <w:r w:rsidR="00BA343C" w:rsidRPr="00BA343C">
        <w:rPr>
          <w:color w:val="000000"/>
          <w:lang w:val="fr-FR"/>
        </w:rPr>
        <w:t>al.  El</w:t>
      </w:r>
      <w:r w:rsidRPr="00BA343C">
        <w:rPr>
          <w:color w:val="000000"/>
          <w:lang w:val="fr-FR"/>
        </w:rPr>
        <w:t>le permet de structurer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information selon une hiérarchie claire, du plus général (événement principal) vers le plus spécifique (événement détaillé, puis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événement, et enfin événement national). 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information nécessaire est ainsi séparée des informations facultatives, ce qui permet aux utilisateurs de déchiffrer plus rapidement le code de situation.</w:t>
      </w:r>
    </w:p>
    <w:p w:rsidR="001D68F5" w:rsidRPr="00BA343C" w:rsidRDefault="00B36BEA" w:rsidP="00B36BEA">
      <w:pPr>
        <w:pStyle w:val="Heading2"/>
        <w:rPr>
          <w:lang w:val="fr-FR"/>
        </w:rPr>
      </w:pPr>
      <w:r>
        <w:rPr>
          <w:lang w:val="fr-FR"/>
        </w:rPr>
        <w:t>P</w:t>
      </w:r>
      <w:r w:rsidRPr="00BA343C">
        <w:rPr>
          <w:lang w:val="fr-FR"/>
        </w:rPr>
        <w:t>ropositions de révisions de la norme</w:t>
      </w:r>
      <w:r>
        <w:rPr>
          <w:lang w:val="fr-FR"/>
        </w:rPr>
        <w:t> </w:t>
      </w:r>
      <w:r w:rsidRPr="00BA343C">
        <w:rPr>
          <w:lang w:val="fr-FR"/>
        </w:rPr>
        <w:t>ST.27</w:t>
      </w:r>
    </w:p>
    <w:p w:rsidR="001D68F5" w:rsidRPr="00BA343C" w:rsidRDefault="001D68F5" w:rsidP="00B36BEA">
      <w:pPr>
        <w:pStyle w:val="ONUMFS"/>
        <w:keepNext/>
        <w:rPr>
          <w:lang w:val="fr-FR"/>
        </w:rPr>
      </w:pPr>
      <w:r w:rsidRPr="00BA343C">
        <w:rPr>
          <w:color w:val="000000"/>
          <w:lang w:val="fr-FR"/>
        </w:rPr>
        <w:t xml:space="preserve">La définition du code de situation au </w:t>
      </w:r>
      <w:r w:rsidR="003E0702" w:rsidRPr="00BA343C">
        <w:rPr>
          <w:color w:val="000000"/>
          <w:lang w:val="fr-FR"/>
        </w:rPr>
        <w:t>paragraphe 2</w:t>
      </w:r>
      <w:r w:rsidRPr="00BA343C">
        <w:rPr>
          <w:color w:val="000000"/>
          <w:lang w:val="fr-FR"/>
        </w:rPr>
        <w:t>7 de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 sera modifiée comme suit</w:t>
      </w:r>
      <w:r w:rsidR="003E0702" w:rsidRPr="00BA343C">
        <w:rPr>
          <w:color w:val="000000"/>
          <w:lang w:val="fr-FR"/>
        </w:rPr>
        <w:t> :</w:t>
      </w:r>
    </w:p>
    <w:p w:rsidR="003E0702" w:rsidRPr="00BA343C" w:rsidRDefault="001D68F5" w:rsidP="001067A6">
      <w:pPr>
        <w:pStyle w:val="ONUMFS"/>
        <w:keepNext/>
        <w:numPr>
          <w:ilvl w:val="0"/>
          <w:numId w:val="0"/>
        </w:numPr>
        <w:spacing w:after="160"/>
        <w:ind w:left="567"/>
        <w:rPr>
          <w:lang w:val="fr-FR"/>
        </w:rPr>
      </w:pPr>
      <w:r w:rsidRPr="00BA343C">
        <w:rPr>
          <w:lang w:val="fr-FR"/>
        </w:rPr>
        <w:t>“27.</w:t>
      </w:r>
      <w:r w:rsidR="00B36BEA">
        <w:rPr>
          <w:lang w:val="fr-FR"/>
        </w:rPr>
        <w:tab/>
      </w:r>
      <w:r w:rsidRPr="00BA343C">
        <w:rPr>
          <w:lang w:val="fr-FR"/>
        </w:rPr>
        <w:t>Le code de situation ci</w:t>
      </w:r>
      <w:r w:rsidR="00B36BEA">
        <w:rPr>
          <w:lang w:val="fr-FR"/>
        </w:rPr>
        <w:noBreakHyphen/>
      </w:r>
      <w:r w:rsidRPr="00BA343C">
        <w:rPr>
          <w:lang w:val="fr-FR"/>
        </w:rPr>
        <w:t>dessous décrit la structure du code sans en représenter nécessairement l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aspect final ni sa représentation au format XML.</w:t>
      </w:r>
    </w:p>
    <w:p w:rsidR="003E0702" w:rsidRPr="00BA343C" w:rsidRDefault="001D68F5" w:rsidP="00B36BEA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BA343C">
        <w:rPr>
          <w:lang w:val="fr-FR"/>
        </w:rPr>
        <w:t xml:space="preserve">[État – Du stade (précédent) – Au stade (actuel) – Événement principal – Événement détaillé – </w:t>
      </w:r>
      <w:r w:rsidRPr="00BA343C">
        <w:rPr>
          <w:u w:val="single"/>
          <w:lang w:val="fr-FR"/>
        </w:rPr>
        <w:t>Indicateur d</w:t>
      </w:r>
      <w:r w:rsidR="003E0702" w:rsidRPr="00BA343C">
        <w:rPr>
          <w:u w:val="single"/>
          <w:lang w:val="fr-FR"/>
        </w:rPr>
        <w:t>’</w:t>
      </w:r>
      <w:r w:rsidRPr="00BA343C">
        <w:rPr>
          <w:u w:val="single"/>
          <w:lang w:val="fr-FR"/>
        </w:rPr>
        <w:t>événement –</w:t>
      </w:r>
      <w:r w:rsidRPr="00BA343C">
        <w:rPr>
          <w:lang w:val="fr-FR"/>
        </w:rPr>
        <w:t xml:space="preserve"> Événement national/régional]”.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lang w:val="fr-FR"/>
        </w:rPr>
        <w:t xml:space="preserve">Les définitions figurant au </w:t>
      </w:r>
      <w:r w:rsidR="003E0702" w:rsidRPr="00BA343C">
        <w:rPr>
          <w:lang w:val="fr-FR"/>
        </w:rPr>
        <w:t>paragraphe 3</w:t>
      </w:r>
      <w:r w:rsidRPr="00BA343C">
        <w:rPr>
          <w:lang w:val="fr-FR"/>
        </w:rPr>
        <w:t xml:space="preserve"> de la norme</w:t>
      </w:r>
      <w:r w:rsidR="00E427C4" w:rsidRPr="00BA343C">
        <w:rPr>
          <w:lang w:val="fr-FR"/>
        </w:rPr>
        <w:t> </w:t>
      </w:r>
      <w:r w:rsidRPr="00BA343C">
        <w:rPr>
          <w:lang w:val="fr-FR"/>
        </w:rPr>
        <w:t>ST.27 seront modifiées comme suit</w:t>
      </w:r>
      <w:r w:rsidR="003E0702" w:rsidRPr="00BA343C">
        <w:rPr>
          <w:lang w:val="fr-FR"/>
        </w:rPr>
        <w:t> :</w:t>
      </w:r>
    </w:p>
    <w:p w:rsidR="001D68F5" w:rsidRPr="00BA343C" w:rsidRDefault="001D68F5" w:rsidP="00B36BEA">
      <w:pPr>
        <w:pStyle w:val="Bulletedlistlevel2"/>
        <w:tabs>
          <w:tab w:val="clear" w:pos="567"/>
          <w:tab w:val="num" w:pos="1134"/>
        </w:tabs>
        <w:spacing w:after="160"/>
        <w:ind w:left="1134" w:hanging="567"/>
        <w:rPr>
          <w:lang w:val="fr-FR"/>
        </w:rPr>
      </w:pPr>
      <w:r w:rsidRPr="00BA343C">
        <w:rPr>
          <w:lang w:val="fr-FR"/>
        </w:rPr>
        <w:t>“événement principal” s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entend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un événement générique, au sens large et universel, au sein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une catégorie;</w:t>
      </w:r>
    </w:p>
    <w:p w:rsidR="001D68F5" w:rsidRPr="00BA343C" w:rsidRDefault="001D68F5" w:rsidP="00B36BEA">
      <w:pPr>
        <w:pStyle w:val="Bulletedlistlevel2"/>
        <w:tabs>
          <w:tab w:val="clear" w:pos="567"/>
          <w:tab w:val="num" w:pos="1134"/>
        </w:tabs>
        <w:spacing w:after="160"/>
        <w:ind w:left="1134" w:hanging="567"/>
        <w:rPr>
          <w:lang w:val="fr-FR"/>
        </w:rPr>
      </w:pPr>
      <w:r w:rsidRPr="00BA343C">
        <w:rPr>
          <w:lang w:val="fr-FR"/>
        </w:rPr>
        <w:t>“événement détaillé” s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entend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un événement au sein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une catégorie qui n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est pas l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événement principal et qui est de nature plus spécifique;</w:t>
      </w:r>
    </w:p>
    <w:p w:rsidR="001D68F5" w:rsidRPr="00BA343C" w:rsidRDefault="001D68F5" w:rsidP="00B36BEA">
      <w:pPr>
        <w:pStyle w:val="Bulletedlistlevel2"/>
        <w:tabs>
          <w:tab w:val="clear" w:pos="567"/>
          <w:tab w:val="num" w:pos="1134"/>
        </w:tabs>
        <w:spacing w:after="160"/>
        <w:ind w:left="1134" w:hanging="567"/>
        <w:rPr>
          <w:lang w:val="fr-FR"/>
        </w:rPr>
      </w:pPr>
      <w:r w:rsidRPr="00BA343C">
        <w:rPr>
          <w:lang w:val="fr-FR"/>
        </w:rPr>
        <w:t>“indicateur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événement” s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entend des informations additionnelles concernant un événement principal et/ou détaillé;</w:t>
      </w:r>
    </w:p>
    <w:p w:rsidR="001D68F5" w:rsidRPr="00BA343C" w:rsidRDefault="001D68F5" w:rsidP="00B36BEA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r w:rsidRPr="00BA343C">
        <w:rPr>
          <w:lang w:val="fr-FR"/>
        </w:rPr>
        <w:t>“événement national ou régional” s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entend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un événement survenu dans le traitement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une demande ou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un droit de propriété industrielle conformément à la législation nationale ou régionale.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>Il est proposé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insérer les deux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paragraphes ci</w:t>
      </w:r>
      <w:r w:rsidR="00B36BEA">
        <w:rPr>
          <w:color w:val="000000"/>
          <w:lang w:val="fr-FR"/>
        </w:rPr>
        <w:noBreakHyphen/>
      </w:r>
      <w:r w:rsidRPr="00BA343C">
        <w:rPr>
          <w:color w:val="000000"/>
          <w:lang w:val="fr-FR"/>
        </w:rPr>
        <w:t>après dans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 de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OMPI.</w:t>
      </w:r>
    </w:p>
    <w:p w:rsidR="001D68F5" w:rsidRPr="00BA343C" w:rsidRDefault="001D68F5" w:rsidP="00B36BEA">
      <w:pPr>
        <w:pStyle w:val="ONUMFS"/>
        <w:numPr>
          <w:ilvl w:val="0"/>
          <w:numId w:val="0"/>
        </w:numPr>
        <w:rPr>
          <w:lang w:val="fr-FR"/>
        </w:rPr>
      </w:pPr>
      <w:r w:rsidRPr="00BA343C">
        <w:rPr>
          <w:color w:val="000000"/>
          <w:lang w:val="fr-FR"/>
        </w:rPr>
        <w:t xml:space="preserve">Après la rubrique </w:t>
      </w:r>
      <w:r w:rsidR="003E0702" w:rsidRPr="00BA343C">
        <w:rPr>
          <w:color w:val="000000"/>
          <w:lang w:val="fr-FR"/>
        </w:rPr>
        <w:t>“É</w:t>
      </w:r>
      <w:r w:rsidRPr="00BA343C">
        <w:rPr>
          <w:color w:val="000000"/>
          <w:lang w:val="fr-FR"/>
        </w:rPr>
        <w:t>vénement détaill</w:t>
      </w:r>
      <w:r w:rsidR="003E0702" w:rsidRPr="00BA343C">
        <w:rPr>
          <w:color w:val="000000"/>
          <w:lang w:val="fr-FR"/>
        </w:rPr>
        <w:t>é”</w:t>
      </w:r>
      <w:r w:rsidRPr="00BA343C">
        <w:rPr>
          <w:color w:val="000000"/>
          <w:lang w:val="fr-FR"/>
        </w:rPr>
        <w:t xml:space="preserve">, insérer un nouveau </w:t>
      </w:r>
      <w:r w:rsidR="003E0702" w:rsidRPr="00BA343C">
        <w:rPr>
          <w:color w:val="000000"/>
          <w:lang w:val="fr-FR"/>
        </w:rPr>
        <w:t>paragraphe 2</w:t>
      </w:r>
      <w:r w:rsidRPr="00BA343C">
        <w:rPr>
          <w:color w:val="000000"/>
          <w:lang w:val="fr-FR"/>
        </w:rPr>
        <w:t>5, comme suit</w:t>
      </w:r>
      <w:r w:rsidR="003E0702" w:rsidRPr="00BA343C">
        <w:rPr>
          <w:color w:val="000000"/>
          <w:lang w:val="fr-FR"/>
        </w:rPr>
        <w:t> :</w:t>
      </w:r>
    </w:p>
    <w:p w:rsidR="001D68F5" w:rsidRPr="00BA343C" w:rsidRDefault="003E0702" w:rsidP="001067A6">
      <w:pPr>
        <w:pStyle w:val="ONUMFS"/>
        <w:keepNext/>
        <w:numPr>
          <w:ilvl w:val="0"/>
          <w:numId w:val="0"/>
        </w:numPr>
        <w:ind w:left="567"/>
        <w:rPr>
          <w:u w:val="single"/>
          <w:lang w:val="fr-FR"/>
        </w:rPr>
      </w:pPr>
      <w:r w:rsidRPr="00BA343C">
        <w:rPr>
          <w:color w:val="000000"/>
          <w:lang w:val="fr-FR"/>
        </w:rPr>
        <w:t>“</w:t>
      </w:r>
      <w:r w:rsidRPr="00BA343C">
        <w:rPr>
          <w:color w:val="000000"/>
          <w:u w:val="single"/>
          <w:lang w:val="fr-FR"/>
        </w:rPr>
        <w:t>I</w:t>
      </w:r>
      <w:r w:rsidR="001D68F5" w:rsidRPr="00BA343C">
        <w:rPr>
          <w:color w:val="000000"/>
          <w:u w:val="single"/>
          <w:lang w:val="fr-FR"/>
        </w:rPr>
        <w:t>ndicateur d</w:t>
      </w:r>
      <w:r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événement</w:t>
      </w:r>
    </w:p>
    <w:p w:rsidR="001D68F5" w:rsidRPr="00BA343C" w:rsidRDefault="00B36BEA" w:rsidP="00B36BEA">
      <w:pPr>
        <w:pStyle w:val="ONUMFS"/>
        <w:numPr>
          <w:ilvl w:val="0"/>
          <w:numId w:val="0"/>
        </w:numPr>
        <w:ind w:left="567"/>
        <w:rPr>
          <w:u w:val="single"/>
          <w:lang w:val="fr-FR"/>
        </w:rPr>
      </w:pPr>
      <w:r>
        <w:rPr>
          <w:color w:val="000000"/>
          <w:u w:val="single"/>
          <w:lang w:val="fr-FR"/>
        </w:rPr>
        <w:t>“</w:t>
      </w:r>
      <w:r w:rsidR="001D68F5" w:rsidRPr="00BA343C">
        <w:rPr>
          <w:color w:val="000000"/>
          <w:u w:val="single"/>
          <w:lang w:val="fr-FR"/>
        </w:rPr>
        <w:t>25.</w:t>
      </w:r>
      <w:r w:rsidR="001D68F5" w:rsidRPr="00BA343C">
        <w:rPr>
          <w:color w:val="000000"/>
          <w:u w:val="single"/>
          <w:lang w:val="fr-FR"/>
        </w:rPr>
        <w:tab/>
        <w:t>Les indicateurs d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événements donnent au sujet d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un événement des informations additionnelles par rapport à celles que fournissent les codes relatifs à l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événement principal et/ou à l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événement détail</w:t>
      </w:r>
      <w:r w:rsidR="00BA343C" w:rsidRPr="00BA343C">
        <w:rPr>
          <w:color w:val="000000"/>
          <w:u w:val="single"/>
          <w:lang w:val="fr-FR"/>
        </w:rPr>
        <w:t>lé.  La</w:t>
      </w:r>
      <w:r w:rsidR="001D68F5" w:rsidRPr="00BA343C">
        <w:rPr>
          <w:color w:val="000000"/>
          <w:u w:val="single"/>
          <w:lang w:val="fr-FR"/>
        </w:rPr>
        <w:t xml:space="preserve"> liste des indicateurs d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événement figure dans l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appendice à l</w:t>
      </w:r>
      <w:r w:rsidR="003E0702" w:rsidRPr="00BA343C">
        <w:rPr>
          <w:color w:val="000000"/>
          <w:u w:val="single"/>
          <w:lang w:val="fr-FR"/>
        </w:rPr>
        <w:t>’annexe I</w:t>
      </w:r>
      <w:r w:rsidR="001D68F5" w:rsidRPr="00BA343C">
        <w:rPr>
          <w:color w:val="000000"/>
          <w:u w:val="single"/>
          <w:lang w:val="fr-FR"/>
        </w:rPr>
        <w:t xml:space="preserve"> de la présente norme</w:t>
      </w:r>
      <w:r w:rsidR="003E0702" w:rsidRPr="00BA343C">
        <w:rPr>
          <w:color w:val="000000"/>
          <w:u w:val="single"/>
          <w:lang w:val="fr-FR"/>
        </w:rPr>
        <w:t>.”</w:t>
      </w:r>
    </w:p>
    <w:p w:rsidR="001D68F5" w:rsidRPr="00BA343C" w:rsidRDefault="001D68F5" w:rsidP="00B36BEA">
      <w:pPr>
        <w:pStyle w:val="ONUMFS"/>
        <w:numPr>
          <w:ilvl w:val="0"/>
          <w:numId w:val="0"/>
        </w:numPr>
        <w:rPr>
          <w:lang w:val="fr-FR"/>
        </w:rPr>
      </w:pPr>
      <w:r w:rsidRPr="00BA343C">
        <w:rPr>
          <w:color w:val="000000"/>
          <w:lang w:val="fr-FR"/>
        </w:rPr>
        <w:t xml:space="preserve">Insérer une nouvelle rubrique entre le </w:t>
      </w:r>
      <w:r w:rsidR="003E0702" w:rsidRPr="00BA343C">
        <w:rPr>
          <w:color w:val="000000"/>
          <w:lang w:val="fr-FR"/>
        </w:rPr>
        <w:t>paragraphe 3</w:t>
      </w:r>
      <w:r w:rsidRPr="00BA343C">
        <w:rPr>
          <w:color w:val="000000"/>
          <w:lang w:val="fr-FR"/>
        </w:rPr>
        <w:t xml:space="preserve">5 et la rubrique </w:t>
      </w:r>
      <w:r w:rsidR="003E0702" w:rsidRPr="00BA343C">
        <w:rPr>
          <w:color w:val="000000"/>
          <w:lang w:val="fr-FR"/>
        </w:rPr>
        <w:t>“C</w:t>
      </w:r>
      <w:r w:rsidRPr="00BA343C">
        <w:rPr>
          <w:color w:val="000000"/>
          <w:lang w:val="fr-FR"/>
        </w:rPr>
        <w:t>ode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 national ou régiona</w:t>
      </w:r>
      <w:r w:rsidR="003E0702" w:rsidRPr="00BA343C">
        <w:rPr>
          <w:color w:val="000000"/>
          <w:lang w:val="fr-FR"/>
        </w:rPr>
        <w:t>l”</w:t>
      </w:r>
      <w:r w:rsidRPr="00BA343C">
        <w:rPr>
          <w:color w:val="000000"/>
          <w:lang w:val="fr-FR"/>
        </w:rPr>
        <w:t>, comme suit</w:t>
      </w:r>
      <w:r w:rsidR="003E0702" w:rsidRPr="00BA343C">
        <w:rPr>
          <w:color w:val="000000"/>
          <w:lang w:val="fr-FR"/>
        </w:rPr>
        <w:t> :</w:t>
      </w:r>
    </w:p>
    <w:p w:rsidR="001D68F5" w:rsidRPr="00BA343C" w:rsidRDefault="003E0702" w:rsidP="001067A6">
      <w:pPr>
        <w:pStyle w:val="ONUMFS"/>
        <w:keepNext/>
        <w:numPr>
          <w:ilvl w:val="0"/>
          <w:numId w:val="0"/>
        </w:numPr>
        <w:ind w:left="567"/>
        <w:rPr>
          <w:u w:val="single"/>
          <w:lang w:val="fr-FR"/>
        </w:rPr>
      </w:pPr>
      <w:r w:rsidRPr="00BA343C">
        <w:rPr>
          <w:color w:val="000000"/>
          <w:lang w:val="fr-FR"/>
        </w:rPr>
        <w:t>“</w:t>
      </w:r>
      <w:r w:rsidRPr="00BA343C">
        <w:rPr>
          <w:color w:val="000000"/>
          <w:u w:val="single"/>
          <w:lang w:val="fr-FR"/>
        </w:rPr>
        <w:t>C</w:t>
      </w:r>
      <w:r w:rsidR="001D68F5" w:rsidRPr="00BA343C">
        <w:rPr>
          <w:color w:val="000000"/>
          <w:u w:val="single"/>
          <w:lang w:val="fr-FR"/>
        </w:rPr>
        <w:t>ode relatif à l</w:t>
      </w:r>
      <w:r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indicateur d</w:t>
      </w:r>
      <w:r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événement</w:t>
      </w:r>
    </w:p>
    <w:p w:rsidR="001D68F5" w:rsidRPr="00BA343C" w:rsidRDefault="00B36BEA" w:rsidP="00B36BEA">
      <w:pPr>
        <w:pStyle w:val="ONUMFS"/>
        <w:numPr>
          <w:ilvl w:val="0"/>
          <w:numId w:val="0"/>
        </w:numPr>
        <w:ind w:left="567"/>
        <w:rPr>
          <w:u w:val="single"/>
          <w:lang w:val="fr-FR"/>
        </w:rPr>
      </w:pPr>
      <w:r>
        <w:rPr>
          <w:color w:val="000000"/>
          <w:u w:val="single"/>
          <w:lang w:val="fr-FR"/>
        </w:rPr>
        <w:t>“</w:t>
      </w:r>
      <w:r w:rsidR="001D68F5" w:rsidRPr="00BA343C">
        <w:rPr>
          <w:color w:val="000000"/>
          <w:u w:val="single"/>
          <w:lang w:val="fr-FR"/>
        </w:rPr>
        <w:t>xx.</w:t>
      </w:r>
      <w:r w:rsidR="001D68F5" w:rsidRPr="00BA343C">
        <w:rPr>
          <w:color w:val="000000"/>
          <w:u w:val="single"/>
          <w:lang w:val="fr-FR"/>
        </w:rPr>
        <w:tab/>
        <w:t>Les codes relatifs aux indicateurs d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événements se composent de trois</w:t>
      </w:r>
      <w:r w:rsidR="00E427C4" w:rsidRPr="00BA343C">
        <w:rPr>
          <w:color w:val="000000"/>
          <w:u w:val="single"/>
          <w:lang w:val="fr-FR"/>
        </w:rPr>
        <w:t> </w:t>
      </w:r>
      <w:r w:rsidR="001D68F5" w:rsidRPr="00BA343C">
        <w:rPr>
          <w:color w:val="000000"/>
          <w:u w:val="single"/>
          <w:lang w:val="fr-FR"/>
        </w:rPr>
        <w:t>caractèr</w:t>
      </w:r>
      <w:r w:rsidR="00BA343C" w:rsidRPr="00BA343C">
        <w:rPr>
          <w:color w:val="000000"/>
          <w:u w:val="single"/>
          <w:lang w:val="fr-FR"/>
        </w:rPr>
        <w:t>es.  Le</w:t>
      </w:r>
      <w:r w:rsidR="001D68F5" w:rsidRPr="00BA343C">
        <w:rPr>
          <w:color w:val="000000"/>
          <w:u w:val="single"/>
          <w:lang w:val="fr-FR"/>
        </w:rPr>
        <w:t>s codes recommandés figurent dans l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appendice à l</w:t>
      </w:r>
      <w:r w:rsidR="003E0702" w:rsidRPr="00BA343C">
        <w:rPr>
          <w:color w:val="000000"/>
          <w:u w:val="single"/>
          <w:lang w:val="fr-FR"/>
        </w:rPr>
        <w:t>’annexe I</w:t>
      </w:r>
      <w:r w:rsidR="001D68F5" w:rsidRPr="00BA343C">
        <w:rPr>
          <w:color w:val="000000"/>
          <w:u w:val="single"/>
          <w:lang w:val="fr-FR"/>
        </w:rPr>
        <w:t xml:space="preserve"> de la présente nor</w:t>
      </w:r>
      <w:r w:rsidR="00BA343C" w:rsidRPr="00BA343C">
        <w:rPr>
          <w:color w:val="000000"/>
          <w:u w:val="single"/>
          <w:lang w:val="fr-FR"/>
        </w:rPr>
        <w:t>me.  Si</w:t>
      </w:r>
      <w:r w:rsidR="001D68F5" w:rsidRPr="00BA343C">
        <w:rPr>
          <w:color w:val="000000"/>
          <w:u w:val="single"/>
          <w:lang w:val="fr-FR"/>
        </w:rPr>
        <w:t xml:space="preserve"> un office de propriété intellectuelle choisit de ne pas fournir d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indicateur d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>événement, le champ relatif aux indicateurs d</w:t>
      </w:r>
      <w:r w:rsidR="003E0702" w:rsidRPr="00BA343C">
        <w:rPr>
          <w:color w:val="000000"/>
          <w:u w:val="single"/>
          <w:lang w:val="fr-FR"/>
        </w:rPr>
        <w:t>’</w:t>
      </w:r>
      <w:r w:rsidR="001D68F5" w:rsidRPr="00BA343C">
        <w:rPr>
          <w:color w:val="000000"/>
          <w:u w:val="single"/>
          <w:lang w:val="fr-FR"/>
        </w:rPr>
        <w:t xml:space="preserve">événement sera représenté comme suit </w:t>
      </w:r>
      <w:r w:rsidR="003E0702" w:rsidRPr="00BA343C">
        <w:rPr>
          <w:color w:val="000000"/>
          <w:u w:val="single"/>
          <w:lang w:val="fr-FR"/>
        </w:rPr>
        <w:t>“x</w:t>
      </w:r>
      <w:r w:rsidR="001D68F5" w:rsidRPr="00BA343C">
        <w:rPr>
          <w:color w:val="000000"/>
          <w:u w:val="single"/>
          <w:lang w:val="fr-FR"/>
        </w:rPr>
        <w:t>x</w:t>
      </w:r>
      <w:r w:rsidR="003E0702" w:rsidRPr="00BA343C">
        <w:rPr>
          <w:color w:val="000000"/>
          <w:u w:val="single"/>
          <w:lang w:val="fr-FR"/>
        </w:rPr>
        <w:t>x”.”</w:t>
      </w:r>
    </w:p>
    <w:p w:rsidR="003E0702" w:rsidRPr="00B36BEA" w:rsidRDefault="001D68F5" w:rsidP="00B36BEA">
      <w:pPr>
        <w:pStyle w:val="ONUMFS"/>
        <w:rPr>
          <w:spacing w:val="-2"/>
          <w:lang w:val="fr-FR"/>
        </w:rPr>
      </w:pPr>
      <w:r w:rsidRPr="00B36BEA">
        <w:rPr>
          <w:color w:val="000000"/>
          <w:spacing w:val="-2"/>
          <w:lang w:val="fr-FR"/>
        </w:rPr>
        <w:t>Compte tenu de ces changements, l</w:t>
      </w:r>
      <w:r w:rsidR="003E0702" w:rsidRPr="00B36BEA">
        <w:rPr>
          <w:color w:val="000000"/>
          <w:spacing w:val="-2"/>
          <w:lang w:val="fr-FR"/>
        </w:rPr>
        <w:t>’</w:t>
      </w:r>
      <w:r w:rsidRPr="00B36BEA">
        <w:rPr>
          <w:color w:val="000000"/>
          <w:spacing w:val="-2"/>
          <w:lang w:val="fr-FR"/>
        </w:rPr>
        <w:t xml:space="preserve">expression </w:t>
      </w:r>
      <w:r w:rsidR="003E0702" w:rsidRPr="00B36BEA">
        <w:rPr>
          <w:color w:val="000000"/>
          <w:spacing w:val="-2"/>
          <w:lang w:val="fr-FR"/>
        </w:rPr>
        <w:t>“c</w:t>
      </w:r>
      <w:r w:rsidRPr="00B36BEA">
        <w:rPr>
          <w:color w:val="000000"/>
          <w:spacing w:val="-2"/>
          <w:lang w:val="fr-FR"/>
        </w:rPr>
        <w:t>aractères réservé</w:t>
      </w:r>
      <w:r w:rsidR="003E0702" w:rsidRPr="00B36BEA">
        <w:rPr>
          <w:color w:val="000000"/>
          <w:spacing w:val="-2"/>
          <w:lang w:val="fr-FR"/>
        </w:rPr>
        <w:t>s”</w:t>
      </w:r>
      <w:r w:rsidRPr="00B36BEA">
        <w:rPr>
          <w:color w:val="000000"/>
          <w:spacing w:val="-2"/>
          <w:lang w:val="fr-FR"/>
        </w:rPr>
        <w:t xml:space="preserve"> n</w:t>
      </w:r>
      <w:r w:rsidR="003E0702" w:rsidRPr="00B36BEA">
        <w:rPr>
          <w:color w:val="000000"/>
          <w:spacing w:val="-2"/>
          <w:lang w:val="fr-FR"/>
        </w:rPr>
        <w:t>’</w:t>
      </w:r>
      <w:r w:rsidRPr="00B36BEA">
        <w:rPr>
          <w:color w:val="000000"/>
          <w:spacing w:val="-2"/>
          <w:lang w:val="fr-FR"/>
        </w:rPr>
        <w:t>est plus nécessaire dans la norme</w:t>
      </w:r>
      <w:r w:rsidR="00E427C4" w:rsidRPr="00B36BEA">
        <w:rPr>
          <w:color w:val="000000"/>
          <w:spacing w:val="-2"/>
          <w:lang w:val="fr-FR"/>
        </w:rPr>
        <w:t> </w:t>
      </w:r>
      <w:r w:rsidRPr="00B36BEA">
        <w:rPr>
          <w:color w:val="000000"/>
          <w:spacing w:val="-2"/>
          <w:lang w:val="fr-FR"/>
        </w:rPr>
        <w:t>ST.27.  Aussi est</w:t>
      </w:r>
      <w:r w:rsidR="00B36BEA" w:rsidRPr="00B36BEA">
        <w:rPr>
          <w:color w:val="000000"/>
          <w:spacing w:val="-2"/>
          <w:lang w:val="fr-FR"/>
        </w:rPr>
        <w:noBreakHyphen/>
      </w:r>
      <w:r w:rsidRPr="00B36BEA">
        <w:rPr>
          <w:color w:val="000000"/>
          <w:spacing w:val="-2"/>
          <w:lang w:val="fr-FR"/>
        </w:rPr>
        <w:t>il proposé de procéder aux modifications suivantes</w:t>
      </w:r>
      <w:r w:rsidR="003E0702" w:rsidRPr="00B36BEA">
        <w:rPr>
          <w:color w:val="000000"/>
          <w:spacing w:val="-2"/>
          <w:lang w:val="fr-FR"/>
        </w:rPr>
        <w:t> :</w:t>
      </w:r>
    </w:p>
    <w:p w:rsidR="003E0702" w:rsidRPr="00BA343C" w:rsidRDefault="001D68F5" w:rsidP="00B36BEA">
      <w:pPr>
        <w:pStyle w:val="ONUMFS"/>
        <w:numPr>
          <w:ilvl w:val="0"/>
          <w:numId w:val="0"/>
        </w:numPr>
        <w:ind w:left="567"/>
        <w:rPr>
          <w:i/>
          <w:lang w:val="fr-FR"/>
        </w:rPr>
      </w:pPr>
      <w:r w:rsidRPr="00BA343C">
        <w:rPr>
          <w:i/>
          <w:color w:val="000000"/>
          <w:lang w:val="fr-FR"/>
        </w:rPr>
        <w:t>Corps de la norme</w:t>
      </w:r>
      <w:r w:rsidR="00E427C4" w:rsidRPr="00BA343C">
        <w:rPr>
          <w:i/>
          <w:color w:val="000000"/>
          <w:lang w:val="fr-FR"/>
        </w:rPr>
        <w:t> </w:t>
      </w:r>
      <w:r w:rsidRPr="00BA343C">
        <w:rPr>
          <w:i/>
          <w:color w:val="000000"/>
          <w:lang w:val="fr-FR"/>
        </w:rPr>
        <w:t>ST.27</w:t>
      </w:r>
    </w:p>
    <w:p w:rsidR="001D68F5" w:rsidRPr="00BA343C" w:rsidRDefault="001D68F5" w:rsidP="00B36BEA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BA343C">
        <w:rPr>
          <w:lang w:val="fr-FR"/>
        </w:rPr>
        <w:t>“31.</w:t>
      </w:r>
      <w:r w:rsidR="00B36BEA">
        <w:rPr>
          <w:lang w:val="fr-FR"/>
        </w:rPr>
        <w:tab/>
      </w:r>
      <w:r w:rsidRPr="00BA343C">
        <w:rPr>
          <w:lang w:val="fr-FR"/>
        </w:rPr>
        <w:t>Les événements principaux sont codés moyennant la combinaison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une lettre unique suivie du numéro “10”</w:t>
      </w:r>
      <w:r w:rsidRPr="00BA343C">
        <w:rPr>
          <w:strike/>
          <w:lang w:val="fr-FR"/>
        </w:rPr>
        <w:t>, puis d</w:t>
      </w:r>
      <w:r w:rsidR="003E0702" w:rsidRPr="00BA343C">
        <w:rPr>
          <w:strike/>
          <w:lang w:val="fr-FR"/>
        </w:rPr>
        <w:t>’</w:t>
      </w:r>
      <w:r w:rsidRPr="00BA343C">
        <w:rPr>
          <w:strike/>
          <w:lang w:val="fr-FR"/>
        </w:rPr>
        <w:t>un point et de “xxx”</w:t>
      </w:r>
      <w:r w:rsidRPr="00BA343C">
        <w:rPr>
          <w:lang w:val="fr-FR"/>
        </w:rPr>
        <w:t xml:space="preserve">. </w:t>
      </w:r>
      <w:r w:rsidR="00E427C4" w:rsidRPr="00BA343C">
        <w:rPr>
          <w:lang w:val="fr-FR"/>
        </w:rPr>
        <w:t xml:space="preserve"> </w:t>
      </w:r>
      <w:r w:rsidRPr="00BA343C">
        <w:rPr>
          <w:lang w:val="fr-FR"/>
        </w:rPr>
        <w:t>La lettre unique est attribuée en fonction de la catégor</w:t>
      </w:r>
      <w:r w:rsidR="00BA343C" w:rsidRPr="00BA343C">
        <w:rPr>
          <w:lang w:val="fr-FR"/>
        </w:rPr>
        <w:t xml:space="preserve">ie.  </w:t>
      </w:r>
      <w:r w:rsidR="00BA343C" w:rsidRPr="00BA343C">
        <w:rPr>
          <w:strike/>
          <w:lang w:val="fr-FR"/>
        </w:rPr>
        <w:t>Le</w:t>
      </w:r>
      <w:r w:rsidRPr="00BA343C">
        <w:rPr>
          <w:strike/>
          <w:lang w:val="fr-FR"/>
        </w:rPr>
        <w:t>s trois</w:t>
      </w:r>
      <w:r w:rsidR="00E427C4" w:rsidRPr="00BA343C">
        <w:rPr>
          <w:strike/>
          <w:lang w:val="fr-FR"/>
        </w:rPr>
        <w:t> </w:t>
      </w:r>
      <w:r w:rsidRPr="00BA343C">
        <w:rPr>
          <w:strike/>
          <w:lang w:val="fr-FR"/>
        </w:rPr>
        <w:t>caractères supplémentaires après le point sont réservés pour une utilisation future éventuelle.</w:t>
      </w:r>
      <w:r w:rsidRPr="00BA343C">
        <w:rPr>
          <w:lang w:val="fr-FR"/>
        </w:rPr>
        <w:t>”</w:t>
      </w:r>
    </w:p>
    <w:p w:rsidR="001D68F5" w:rsidRPr="00BA343C" w:rsidRDefault="00B36BEA" w:rsidP="00B36BEA">
      <w:pPr>
        <w:pStyle w:val="ONUMFS"/>
        <w:numPr>
          <w:ilvl w:val="0"/>
          <w:numId w:val="0"/>
        </w:numPr>
        <w:ind w:left="567"/>
        <w:rPr>
          <w:u w:val="single"/>
          <w:lang w:val="fr-FR"/>
        </w:rPr>
      </w:pPr>
      <w:r>
        <w:rPr>
          <w:lang w:val="fr-FR"/>
        </w:rPr>
        <w:t>“34.</w:t>
      </w:r>
      <w:r>
        <w:rPr>
          <w:lang w:val="fr-FR"/>
        </w:rPr>
        <w:tab/>
      </w:r>
      <w:r w:rsidR="001D68F5" w:rsidRPr="00BA343C">
        <w:rPr>
          <w:lang w:val="fr-FR"/>
        </w:rPr>
        <w:t>Les événements détaillés sont codés au moyen d</w:t>
      </w:r>
      <w:r w:rsidR="003E0702" w:rsidRPr="00BA343C">
        <w:rPr>
          <w:lang w:val="fr-FR"/>
        </w:rPr>
        <w:t>’</w:t>
      </w:r>
      <w:r w:rsidR="001D68F5" w:rsidRPr="00BA343C">
        <w:rPr>
          <w:lang w:val="fr-FR"/>
        </w:rPr>
        <w:t>une combinaison d</w:t>
      </w:r>
      <w:r w:rsidR="003E0702" w:rsidRPr="00BA343C">
        <w:rPr>
          <w:lang w:val="fr-FR"/>
        </w:rPr>
        <w:t>’</w:t>
      </w:r>
      <w:r w:rsidR="001D68F5" w:rsidRPr="00BA343C">
        <w:rPr>
          <w:lang w:val="fr-FR"/>
        </w:rPr>
        <w:t>une lettre unique suivie d</w:t>
      </w:r>
      <w:r w:rsidR="003E0702" w:rsidRPr="00BA343C">
        <w:rPr>
          <w:lang w:val="fr-FR"/>
        </w:rPr>
        <w:t>’</w:t>
      </w:r>
      <w:r w:rsidR="001D68F5" w:rsidRPr="00BA343C">
        <w:rPr>
          <w:lang w:val="fr-FR"/>
        </w:rPr>
        <w:t>un nombre à deux</w:t>
      </w:r>
      <w:r w:rsidR="00E427C4" w:rsidRPr="00BA343C">
        <w:rPr>
          <w:lang w:val="fr-FR"/>
        </w:rPr>
        <w:t> </w:t>
      </w:r>
      <w:r w:rsidR="001D68F5" w:rsidRPr="00BA343C">
        <w:rPr>
          <w:lang w:val="fr-FR"/>
        </w:rPr>
        <w:t>chiffres de 11 à 99</w:t>
      </w:r>
      <w:r w:rsidR="001D68F5" w:rsidRPr="00BA343C">
        <w:rPr>
          <w:strike/>
          <w:lang w:val="fr-FR"/>
        </w:rPr>
        <w:t>, puis d</w:t>
      </w:r>
      <w:r w:rsidR="003E0702" w:rsidRPr="00BA343C">
        <w:rPr>
          <w:strike/>
          <w:lang w:val="fr-FR"/>
        </w:rPr>
        <w:t>’</w:t>
      </w:r>
      <w:r w:rsidR="001D68F5" w:rsidRPr="00BA343C">
        <w:rPr>
          <w:strike/>
          <w:lang w:val="fr-FR"/>
        </w:rPr>
        <w:t>un point et de “xxx”</w:t>
      </w:r>
      <w:r w:rsidR="001D68F5" w:rsidRPr="00BA343C">
        <w:rPr>
          <w:lang w:val="fr-FR"/>
        </w:rPr>
        <w:t xml:space="preserve">. </w:t>
      </w:r>
      <w:r w:rsidR="00E427C4" w:rsidRPr="00BA343C">
        <w:rPr>
          <w:lang w:val="fr-FR"/>
        </w:rPr>
        <w:t xml:space="preserve"> </w:t>
      </w:r>
      <w:r w:rsidR="001D68F5" w:rsidRPr="00BA343C">
        <w:rPr>
          <w:lang w:val="fr-FR"/>
        </w:rPr>
        <w:t>La lettre unique est fonction de la catégor</w:t>
      </w:r>
      <w:r w:rsidR="00BA343C" w:rsidRPr="00BA343C">
        <w:rPr>
          <w:lang w:val="fr-FR"/>
        </w:rPr>
        <w:t>ie.  Le</w:t>
      </w:r>
      <w:r w:rsidR="001D68F5" w:rsidRPr="00BA343C">
        <w:rPr>
          <w:lang w:val="fr-FR"/>
        </w:rPr>
        <w:t>s codes d</w:t>
      </w:r>
      <w:r w:rsidR="003E0702" w:rsidRPr="00BA343C">
        <w:rPr>
          <w:lang w:val="fr-FR"/>
        </w:rPr>
        <w:t>’</w:t>
      </w:r>
      <w:r w:rsidR="001D68F5" w:rsidRPr="00BA343C">
        <w:rPr>
          <w:lang w:val="fr-FR"/>
        </w:rPr>
        <w:t>événements détaillés figurent à l</w:t>
      </w:r>
      <w:r w:rsidR="003E0702" w:rsidRPr="00BA343C">
        <w:rPr>
          <w:lang w:val="fr-FR"/>
        </w:rPr>
        <w:t>’</w:t>
      </w:r>
      <w:r w:rsidR="001D68F5" w:rsidRPr="00BA343C">
        <w:rPr>
          <w:lang w:val="fr-FR"/>
        </w:rPr>
        <w:t>annexe I.</w:t>
      </w:r>
      <w:r w:rsidR="00BA343C" w:rsidRPr="00BA343C">
        <w:rPr>
          <w:lang w:val="fr-FR"/>
        </w:rPr>
        <w:t xml:space="preserve">  </w:t>
      </w:r>
      <w:r w:rsidR="001D68F5" w:rsidRPr="00BA343C">
        <w:rPr>
          <w:strike/>
          <w:lang w:val="fr-FR"/>
        </w:rPr>
        <w:t>Les trois</w:t>
      </w:r>
      <w:r w:rsidR="00E427C4" w:rsidRPr="00BA343C">
        <w:rPr>
          <w:strike/>
          <w:lang w:val="fr-FR"/>
        </w:rPr>
        <w:t> </w:t>
      </w:r>
      <w:r w:rsidR="001D68F5" w:rsidRPr="00BA343C">
        <w:rPr>
          <w:strike/>
          <w:lang w:val="fr-FR"/>
        </w:rPr>
        <w:t>caractères supplémentaires après le point sont réservés pour une utilisation future éventuelle.</w:t>
      </w:r>
      <w:r w:rsidR="001D68F5" w:rsidRPr="00BA343C">
        <w:rPr>
          <w:lang w:val="fr-FR"/>
        </w:rPr>
        <w:t>”</w:t>
      </w:r>
    </w:p>
    <w:p w:rsidR="001D68F5" w:rsidRPr="00BA343C" w:rsidRDefault="003E0702" w:rsidP="00B36BEA">
      <w:pPr>
        <w:pStyle w:val="ONUMFS"/>
        <w:keepNext/>
        <w:numPr>
          <w:ilvl w:val="0"/>
          <w:numId w:val="0"/>
        </w:numPr>
        <w:ind w:left="567"/>
        <w:rPr>
          <w:i/>
          <w:lang w:val="fr-FR"/>
        </w:rPr>
      </w:pPr>
      <w:r w:rsidRPr="00BA343C">
        <w:rPr>
          <w:i/>
          <w:lang w:val="fr-FR"/>
        </w:rPr>
        <w:t>Annexe I</w:t>
      </w:r>
      <w:r w:rsidR="001D68F5" w:rsidRPr="00BA343C">
        <w:rPr>
          <w:i/>
          <w:lang w:val="fr-FR"/>
        </w:rPr>
        <w:t xml:space="preserve"> de la norme</w:t>
      </w:r>
      <w:r w:rsidR="00E427C4" w:rsidRPr="00BA343C">
        <w:rPr>
          <w:i/>
          <w:lang w:val="fr-FR"/>
        </w:rPr>
        <w:t> </w:t>
      </w:r>
      <w:r w:rsidR="001D68F5" w:rsidRPr="00BA343C">
        <w:rPr>
          <w:i/>
          <w:lang w:val="fr-FR"/>
        </w:rPr>
        <w:t xml:space="preserve">ST.27, suppression du </w:t>
      </w:r>
      <w:r w:rsidRPr="00BA343C">
        <w:rPr>
          <w:i/>
          <w:lang w:val="fr-FR"/>
        </w:rPr>
        <w:t>paragraphe 3</w:t>
      </w:r>
    </w:p>
    <w:p w:rsidR="001D68F5" w:rsidRPr="00BA343C" w:rsidRDefault="001D68F5" w:rsidP="00B36BEA">
      <w:pPr>
        <w:pStyle w:val="ONUMFS"/>
        <w:numPr>
          <w:ilvl w:val="0"/>
          <w:numId w:val="0"/>
        </w:numPr>
        <w:ind w:left="567"/>
        <w:rPr>
          <w:strike/>
          <w:lang w:val="fr-FR"/>
        </w:rPr>
      </w:pPr>
      <w:r w:rsidRPr="00BA343C">
        <w:rPr>
          <w:lang w:val="fr-FR"/>
        </w:rPr>
        <w:t>“</w:t>
      </w:r>
      <w:r w:rsidR="00B36BEA">
        <w:rPr>
          <w:strike/>
          <w:lang w:val="fr-FR"/>
        </w:rPr>
        <w:t>3.</w:t>
      </w:r>
      <w:r w:rsidR="00B36BEA">
        <w:rPr>
          <w:strike/>
          <w:lang w:val="fr-FR"/>
        </w:rPr>
        <w:tab/>
      </w:r>
      <w:r w:rsidRPr="00BA343C">
        <w:rPr>
          <w:strike/>
          <w:lang w:val="fr-FR"/>
        </w:rPr>
        <w:t>Les trois</w:t>
      </w:r>
      <w:r w:rsidR="00E427C4" w:rsidRPr="00BA343C">
        <w:rPr>
          <w:strike/>
          <w:lang w:val="fr-FR"/>
        </w:rPr>
        <w:t> </w:t>
      </w:r>
      <w:r w:rsidRPr="00BA343C">
        <w:rPr>
          <w:strike/>
          <w:lang w:val="fr-FR"/>
        </w:rPr>
        <w:t>caractères supplémentaires après le point sont réservés pour une utilisation future éventuel</w:t>
      </w:r>
      <w:r w:rsidR="00BA343C" w:rsidRPr="00BA343C">
        <w:rPr>
          <w:strike/>
          <w:lang w:val="fr-FR"/>
        </w:rPr>
        <w:t>le.  Il</w:t>
      </w:r>
      <w:r w:rsidRPr="00BA343C">
        <w:rPr>
          <w:strike/>
          <w:lang w:val="fr-FR"/>
        </w:rPr>
        <w:t>s devraient être enregistrés sous la forme</w:t>
      </w:r>
      <w:r w:rsidR="00B36BEA">
        <w:rPr>
          <w:strike/>
          <w:lang w:val="fr-FR"/>
        </w:rPr>
        <w:t> </w:t>
      </w:r>
      <w:r w:rsidRPr="00BA343C">
        <w:rPr>
          <w:strike/>
          <w:lang w:val="fr-FR"/>
        </w:rPr>
        <w:t>“xxx” dans les mises en œuvre actuell</w:t>
      </w:r>
      <w:r w:rsidR="00BA343C" w:rsidRPr="00BA343C">
        <w:rPr>
          <w:strike/>
          <w:lang w:val="fr-FR"/>
        </w:rPr>
        <w:t>es.  Le</w:t>
      </w:r>
      <w:r w:rsidRPr="00BA343C">
        <w:rPr>
          <w:strike/>
          <w:lang w:val="fr-FR"/>
        </w:rPr>
        <w:t>s caractères réservés n</w:t>
      </w:r>
      <w:r w:rsidR="003E0702" w:rsidRPr="00BA343C">
        <w:rPr>
          <w:strike/>
          <w:lang w:val="fr-FR"/>
        </w:rPr>
        <w:t>’</w:t>
      </w:r>
      <w:r w:rsidRPr="00BA343C">
        <w:rPr>
          <w:strike/>
          <w:lang w:val="fr-FR"/>
        </w:rPr>
        <w:t>apparaissent pas dans la liste figurant ci</w:t>
      </w:r>
      <w:r w:rsidR="00B36BEA">
        <w:rPr>
          <w:strike/>
          <w:lang w:val="fr-FR"/>
        </w:rPr>
        <w:noBreakHyphen/>
      </w:r>
      <w:r w:rsidRPr="00BA343C">
        <w:rPr>
          <w:strike/>
          <w:lang w:val="fr-FR"/>
        </w:rPr>
        <w:t>après.</w:t>
      </w:r>
      <w:r w:rsidRPr="00BA343C">
        <w:rPr>
          <w:lang w:val="fr-FR"/>
        </w:rPr>
        <w:t>”</w:t>
      </w:r>
    </w:p>
    <w:p w:rsidR="001D68F5" w:rsidRPr="00BA343C" w:rsidRDefault="00B36BEA" w:rsidP="00B36BEA">
      <w:pPr>
        <w:pStyle w:val="Heading2"/>
        <w:rPr>
          <w:lang w:val="fr-FR"/>
        </w:rPr>
      </w:pPr>
      <w:r>
        <w:rPr>
          <w:lang w:val="fr-FR"/>
        </w:rPr>
        <w:t>P</w:t>
      </w:r>
      <w:r w:rsidRPr="00BA343C">
        <w:rPr>
          <w:lang w:val="fr-FR"/>
        </w:rPr>
        <w:t>roposition relative aux indicateurs de procédure</w:t>
      </w:r>
    </w:p>
    <w:p w:rsidR="003E0702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 xml:space="preserve">Dans le cadre général des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</w:t>
      </w:r>
      <w:r w:rsidR="003E0702" w:rsidRPr="00BA343C">
        <w:rPr>
          <w:color w:val="000000"/>
          <w:lang w:val="fr-FR"/>
        </w:rPr>
        <w:t>s”</w:t>
      </w:r>
      <w:r w:rsidRPr="00BA343C">
        <w:rPr>
          <w:color w:val="000000"/>
          <w:lang w:val="fr-FR"/>
        </w:rPr>
        <w:t xml:space="preserve"> décrits plus haut, les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de procédur</w:t>
      </w:r>
      <w:r w:rsidR="003E0702" w:rsidRPr="00BA343C">
        <w:rPr>
          <w:color w:val="000000"/>
          <w:lang w:val="fr-FR"/>
        </w:rPr>
        <w:t>e”</w:t>
      </w:r>
      <w:r w:rsidRPr="00BA343C">
        <w:rPr>
          <w:color w:val="000000"/>
          <w:lang w:val="fr-FR"/>
        </w:rPr>
        <w:t xml:space="preserve"> constituent une catégorie particulière </w:t>
      </w:r>
      <w:r w:rsidR="003E0702" w:rsidRPr="00BA343C">
        <w:rPr>
          <w:color w:val="000000"/>
          <w:lang w:val="fr-FR"/>
        </w:rPr>
        <w:t>“d’</w:t>
      </w:r>
      <w:r w:rsidRPr="00BA343C">
        <w:rPr>
          <w:color w:val="000000"/>
          <w:lang w:val="fr-FR"/>
        </w:rPr>
        <w:t>indicateurs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</w:t>
      </w:r>
      <w:r w:rsidR="003E0702" w:rsidRPr="00BA343C">
        <w:rPr>
          <w:color w:val="000000"/>
          <w:lang w:val="fr-FR"/>
        </w:rPr>
        <w:t>s”</w:t>
      </w:r>
      <w:r w:rsidRPr="00BA343C">
        <w:rPr>
          <w:color w:val="000000"/>
          <w:lang w:val="fr-FR"/>
        </w:rPr>
        <w:t>. 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experts propose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inclure les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de procédur</w:t>
      </w:r>
      <w:r w:rsidR="003E0702" w:rsidRPr="00BA343C">
        <w:rPr>
          <w:color w:val="000000"/>
          <w:lang w:val="fr-FR"/>
        </w:rPr>
        <w:t>e”</w:t>
      </w:r>
      <w:r w:rsidRPr="00BA343C">
        <w:rPr>
          <w:color w:val="000000"/>
          <w:lang w:val="fr-FR"/>
        </w:rPr>
        <w:t xml:space="preserve"> dans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 sous forme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appendice à </w:t>
      </w:r>
      <w:r w:rsidRPr="00012638">
        <w:rPr>
          <w:color w:val="000000"/>
          <w:lang w:val="fr-FR"/>
        </w:rPr>
        <w:t>l</w:t>
      </w:r>
      <w:r w:rsidR="003E0702" w:rsidRPr="00012638">
        <w:rPr>
          <w:color w:val="000000"/>
          <w:lang w:val="fr-FR"/>
        </w:rPr>
        <w:t>’annexe I</w:t>
      </w:r>
      <w:r w:rsidRPr="00012638">
        <w:rPr>
          <w:color w:val="000000"/>
          <w:lang w:val="fr-FR"/>
        </w:rPr>
        <w:t>.</w:t>
      </w:r>
      <w:r w:rsidR="00BA343C" w:rsidRPr="00012638">
        <w:rPr>
          <w:color w:val="000000"/>
          <w:lang w:val="fr-FR"/>
        </w:rPr>
        <w:t xml:space="preserve">  </w:t>
      </w:r>
      <w:r w:rsidR="00012638" w:rsidRPr="00012638">
        <w:t xml:space="preserve">Le nouvel appendice proposé est présenté en annexe au présent document.  </w:t>
      </w:r>
      <w:r w:rsidRPr="00012638">
        <w:rPr>
          <w:color w:val="000000"/>
          <w:lang w:val="fr-FR"/>
        </w:rPr>
        <w:t>Si les am</w:t>
      </w:r>
      <w:r w:rsidRPr="00BA343C">
        <w:rPr>
          <w:color w:val="000000"/>
          <w:lang w:val="fr-FR"/>
        </w:rPr>
        <w:t>endements à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 sont approuvés, il conviendra de modifier en conséquence les éléments XML correspondants de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ST.96 concernant la situation juridique des brevets.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>Les codes de situation actuellement prévus par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 ont notamment pour inconvénient de faire qu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il est difficile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indiquer quels événements sont liés entre e</w:t>
      </w:r>
      <w:r w:rsidR="00BA343C" w:rsidRPr="00BA343C">
        <w:rPr>
          <w:color w:val="000000"/>
          <w:lang w:val="fr-FR"/>
        </w:rPr>
        <w:t>ux.  Pr</w:t>
      </w:r>
      <w:r w:rsidRPr="00BA343C">
        <w:rPr>
          <w:color w:val="000000"/>
          <w:lang w:val="fr-FR"/>
        </w:rPr>
        <w:t>enons par exemple la séquence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événements suivante</w:t>
      </w:r>
      <w:r w:rsidR="003E0702" w:rsidRPr="00BA343C">
        <w:rPr>
          <w:color w:val="000000"/>
          <w:lang w:val="fr-FR"/>
        </w:rPr>
        <w:t> :</w:t>
      </w:r>
    </w:p>
    <w:p w:rsidR="001D68F5" w:rsidRPr="00BA343C" w:rsidRDefault="001D68F5" w:rsidP="00B36BEA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spacing w:after="160"/>
        <w:ind w:left="1134" w:hanging="567"/>
        <w:rPr>
          <w:lang w:val="fr-FR"/>
        </w:rPr>
      </w:pPr>
      <w:r w:rsidRPr="00BA343C">
        <w:rPr>
          <w:color w:val="000000"/>
          <w:lang w:val="fr-FR"/>
        </w:rPr>
        <w:t xml:space="preserve">D10 </w:t>
      </w:r>
      <w:r w:rsidRPr="00BA343C">
        <w:rPr>
          <w:lang w:val="fr-FR"/>
        </w:rPr>
        <w:t>Recherche ou examen demandé ou commencé</w:t>
      </w:r>
      <w:r w:rsidR="00740CFE">
        <w:rPr>
          <w:lang w:val="fr-FR"/>
        </w:rPr>
        <w:t>;</w:t>
      </w:r>
    </w:p>
    <w:p w:rsidR="001D68F5" w:rsidRPr="00BA343C" w:rsidRDefault="001D68F5" w:rsidP="00B36BEA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spacing w:after="160"/>
        <w:ind w:left="1134" w:hanging="567"/>
        <w:rPr>
          <w:lang w:val="fr-FR"/>
        </w:rPr>
      </w:pPr>
      <w:r w:rsidRPr="00BA343C">
        <w:rPr>
          <w:color w:val="000000"/>
          <w:lang w:val="fr-FR"/>
        </w:rPr>
        <w:t>E11 Opposition avant la délivrance formée</w:t>
      </w:r>
      <w:r w:rsidR="00740CFE">
        <w:rPr>
          <w:color w:val="000000"/>
          <w:lang w:val="fr-FR"/>
        </w:rPr>
        <w:t>;</w:t>
      </w:r>
    </w:p>
    <w:p w:rsidR="001D68F5" w:rsidRPr="00BA343C" w:rsidRDefault="001D68F5" w:rsidP="00B36BEA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spacing w:after="160"/>
        <w:ind w:left="1134" w:hanging="567"/>
        <w:rPr>
          <w:lang w:val="fr-FR"/>
        </w:rPr>
      </w:pPr>
      <w:r w:rsidRPr="00BA343C">
        <w:rPr>
          <w:color w:val="000000"/>
          <w:lang w:val="fr-FR"/>
        </w:rPr>
        <w:t>P13 Demande modifiée</w:t>
      </w:r>
      <w:r w:rsidR="00740CFE">
        <w:rPr>
          <w:color w:val="000000"/>
          <w:lang w:val="fr-FR"/>
        </w:rPr>
        <w:t>;</w:t>
      </w:r>
    </w:p>
    <w:p w:rsidR="001D68F5" w:rsidRPr="00BA343C" w:rsidRDefault="001D68F5" w:rsidP="00B36BEA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BA343C">
        <w:rPr>
          <w:color w:val="000000"/>
          <w:lang w:val="fr-FR"/>
        </w:rPr>
        <w:t>Q17 Document modifié publié.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>Il n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y a pas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indication claire quant à ce à quoi les deux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derniers événements se rapportent.  P13 pourrait signifier que la demande a été modifiée en raison de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examen ou en raison de la procédure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opposition et Q17 pourrait signifier que le document publié avait trait 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examen, 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opposition, ou à autre cho</w:t>
      </w:r>
      <w:r w:rsidR="00BA343C" w:rsidRPr="00BA343C">
        <w:rPr>
          <w:color w:val="000000"/>
          <w:lang w:val="fr-FR"/>
        </w:rPr>
        <w:t>se.  Il</w:t>
      </w:r>
      <w:r w:rsidRPr="00BA343C">
        <w:rPr>
          <w:color w:val="000000"/>
          <w:lang w:val="fr-FR"/>
        </w:rPr>
        <w:t xml:space="preserve"> peut être nécessaire pour trouver le lien entre les événements de consulter les historiques des événements nationaux en faisant abstraction de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ST.27.  Cela peut éventuellement fonctionner pour un petit nombre de demandes, mais de telles recherches deviennent ingérables lorsqu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on doit traiter des portefeuilles volumineux, ou des données provenant de nombreux offices de propriété intellectuelle.</w:t>
      </w:r>
    </w:p>
    <w:p w:rsidR="003E0702" w:rsidRPr="00BA343C" w:rsidRDefault="001D68F5" w:rsidP="00B36BEA">
      <w:pPr>
        <w:pStyle w:val="ONUMFS"/>
        <w:rPr>
          <w:color w:val="000000"/>
          <w:lang w:val="fr-FR"/>
        </w:rPr>
      </w:pPr>
      <w:r w:rsidRPr="00BA343C">
        <w:rPr>
          <w:color w:val="000000"/>
          <w:lang w:val="fr-FR"/>
        </w:rPr>
        <w:t>Certains offices, comme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Office allemand des brevets et des marques et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Office européen des brevets, utilisent des codes dans leurs propres systèmes de référencement des événements pour regrouper les événements liés entre eux au sein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une même procédure (comme une procédure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examen ou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opposition).</w:t>
      </w:r>
      <w:r w:rsidR="00E427C4" w:rsidRPr="00BA343C">
        <w:rPr>
          <w:color w:val="000000"/>
          <w:lang w:val="fr-FR"/>
        </w:rPr>
        <w:t xml:space="preserve"> </w:t>
      </w:r>
      <w:r w:rsidRPr="00BA343C">
        <w:rPr>
          <w:color w:val="000000"/>
          <w:lang w:val="fr-FR"/>
        </w:rPr>
        <w:t xml:space="preserve"> La proposition relative aux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de procédur</w:t>
      </w:r>
      <w:r w:rsidR="003E0702" w:rsidRPr="00BA343C">
        <w:rPr>
          <w:color w:val="000000"/>
          <w:lang w:val="fr-FR"/>
        </w:rPr>
        <w:t>e”</w:t>
      </w:r>
      <w:r w:rsidRPr="00BA343C">
        <w:rPr>
          <w:color w:val="000000"/>
          <w:lang w:val="fr-FR"/>
        </w:rPr>
        <w:t xml:space="preserve"> repose sur une méthode analogue inspirée de pratiques existantes et adaptée à la structure établie par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 xml:space="preserve">La procédure relative aux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de procédur</w:t>
      </w:r>
      <w:r w:rsidR="003E0702" w:rsidRPr="00BA343C">
        <w:rPr>
          <w:color w:val="000000"/>
          <w:lang w:val="fr-FR"/>
        </w:rPr>
        <w:t>e”</w:t>
      </w:r>
      <w:r w:rsidRPr="00BA343C">
        <w:rPr>
          <w:color w:val="000000"/>
          <w:lang w:val="fr-FR"/>
        </w:rPr>
        <w:t xml:space="preserve"> répertorie 25</w:t>
      </w:r>
      <w:r w:rsidR="00B36BEA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grandes catégories de procédures qui sont communes à de nombreux offices de propriété intellectuel</w:t>
      </w:r>
      <w:r w:rsidR="00BA343C" w:rsidRPr="00BA343C">
        <w:rPr>
          <w:color w:val="000000"/>
          <w:lang w:val="fr-FR"/>
        </w:rPr>
        <w:t>le.  Ce</w:t>
      </w:r>
      <w:r w:rsidRPr="00BA343C">
        <w:rPr>
          <w:color w:val="000000"/>
          <w:lang w:val="fr-FR"/>
        </w:rPr>
        <w:t>rtains indicateurs ont trait à des actes de traitement de premier ordre (procédures de recherche,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examen ou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opposition). 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autres à la manière dont les différents types de demandes sont traités, comme les demandes nationales, les demandes régionales ou les demandes provisoir</w:t>
      </w:r>
      <w:r w:rsidR="00BA343C" w:rsidRPr="00BA343C">
        <w:rPr>
          <w:color w:val="000000"/>
          <w:lang w:val="fr-FR"/>
        </w:rPr>
        <w:t>es.  D’a</w:t>
      </w:r>
      <w:r w:rsidRPr="00BA343C">
        <w:rPr>
          <w:color w:val="000000"/>
          <w:lang w:val="fr-FR"/>
        </w:rPr>
        <w:t>utres encore portent sur des procédures extérieures qui sont enregistrées 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office de propriété intellectuelle, comme les licences ou les cessions.</w:t>
      </w:r>
    </w:p>
    <w:p w:rsidR="001D68F5" w:rsidRPr="00BA343C" w:rsidRDefault="001D68F5" w:rsidP="00B36BEA">
      <w:pPr>
        <w:pStyle w:val="ONUMFS"/>
        <w:keepNext/>
        <w:rPr>
          <w:lang w:val="fr-FR"/>
        </w:rPr>
      </w:pPr>
      <w:r w:rsidRPr="00BA343C">
        <w:rPr>
          <w:color w:val="000000"/>
          <w:lang w:val="fr-FR"/>
        </w:rPr>
        <w:t>À première vue, la liste de procédures présente des similitudes avec la liste de catégories qui figure à l</w:t>
      </w:r>
      <w:r w:rsidR="003E0702" w:rsidRPr="00BA343C">
        <w:rPr>
          <w:color w:val="000000"/>
          <w:lang w:val="fr-FR"/>
        </w:rPr>
        <w:t>’annexe I</w:t>
      </w:r>
      <w:r w:rsidRPr="00BA343C">
        <w:rPr>
          <w:color w:val="000000"/>
          <w:lang w:val="fr-FR"/>
        </w:rPr>
        <w:t xml:space="preserve"> de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ST.27.  Néanmoins, les procédures ne reprennent pas la même information car</w:t>
      </w:r>
      <w:r w:rsidR="003E0702" w:rsidRPr="00BA343C">
        <w:rPr>
          <w:color w:val="000000"/>
          <w:lang w:val="fr-FR"/>
        </w:rPr>
        <w:t> :</w:t>
      </w:r>
    </w:p>
    <w:p w:rsidR="001D68F5" w:rsidRPr="00BA343C" w:rsidRDefault="001D68F5" w:rsidP="00B36BEA">
      <w:pPr>
        <w:pStyle w:val="ONUMFS"/>
        <w:numPr>
          <w:ilvl w:val="0"/>
          <w:numId w:val="10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 w:rsidRPr="00BA343C">
        <w:rPr>
          <w:color w:val="000000"/>
          <w:lang w:val="fr-FR"/>
        </w:rPr>
        <w:t>les</w:t>
      </w:r>
      <w:proofErr w:type="gramEnd"/>
      <w:r w:rsidRPr="00BA343C">
        <w:rPr>
          <w:color w:val="000000"/>
          <w:lang w:val="fr-FR"/>
        </w:rPr>
        <w:t xml:space="preserve"> procédures sont plus détaillées que les catégori</w:t>
      </w:r>
      <w:r w:rsidR="00BA343C" w:rsidRPr="00BA343C">
        <w:rPr>
          <w:color w:val="000000"/>
          <w:lang w:val="fr-FR"/>
        </w:rPr>
        <w:t>es.  Pa</w:t>
      </w:r>
      <w:r w:rsidRPr="00BA343C">
        <w:rPr>
          <w:color w:val="000000"/>
          <w:lang w:val="fr-FR"/>
        </w:rPr>
        <w:t xml:space="preserve">r exemple, la catégorie D </w:t>
      </w:r>
      <w:r w:rsidR="003E0702" w:rsidRPr="00BA343C">
        <w:rPr>
          <w:color w:val="000000"/>
          <w:lang w:val="fr-FR"/>
        </w:rPr>
        <w:t>“R</w:t>
      </w:r>
      <w:r w:rsidRPr="00BA343C">
        <w:rPr>
          <w:color w:val="000000"/>
          <w:lang w:val="fr-FR"/>
        </w:rPr>
        <w:t>echerche et exame</w:t>
      </w:r>
      <w:r w:rsidR="003E0702" w:rsidRPr="00BA343C">
        <w:rPr>
          <w:color w:val="000000"/>
          <w:lang w:val="fr-FR"/>
        </w:rPr>
        <w:t>n”</w:t>
      </w:r>
      <w:r w:rsidRPr="00BA343C">
        <w:rPr>
          <w:color w:val="000000"/>
          <w:lang w:val="fr-FR"/>
        </w:rPr>
        <w:t xml:space="preserve"> correspond à deux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procédures différentes, une pour la recherche et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autre pour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examen;</w:t>
      </w:r>
    </w:p>
    <w:p w:rsidR="001D68F5" w:rsidRPr="001067A6" w:rsidRDefault="001D68F5" w:rsidP="00B36BEA">
      <w:pPr>
        <w:pStyle w:val="ONUMFS"/>
        <w:numPr>
          <w:ilvl w:val="0"/>
          <w:numId w:val="10"/>
        </w:numPr>
        <w:tabs>
          <w:tab w:val="clear" w:pos="567"/>
          <w:tab w:val="num" w:pos="1134"/>
        </w:tabs>
        <w:ind w:left="1134" w:hanging="567"/>
        <w:rPr>
          <w:spacing w:val="-4"/>
          <w:lang w:val="fr-FR"/>
        </w:rPr>
      </w:pPr>
      <w:proofErr w:type="gramStart"/>
      <w:r w:rsidRPr="001067A6">
        <w:rPr>
          <w:color w:val="000000"/>
          <w:spacing w:val="-4"/>
          <w:lang w:val="fr-FR"/>
        </w:rPr>
        <w:t>les</w:t>
      </w:r>
      <w:proofErr w:type="gramEnd"/>
      <w:r w:rsidRPr="001067A6">
        <w:rPr>
          <w:color w:val="000000"/>
          <w:spacing w:val="-4"/>
          <w:lang w:val="fr-FR"/>
        </w:rPr>
        <w:t xml:space="preserve"> procédures s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appliquent à des contextes dans lesquels il n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est pas possible d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utiliser les catégori</w:t>
      </w:r>
      <w:r w:rsidR="00BA343C" w:rsidRPr="001067A6">
        <w:rPr>
          <w:color w:val="000000"/>
          <w:spacing w:val="-4"/>
          <w:lang w:val="fr-FR"/>
        </w:rPr>
        <w:t>es.  Pr</w:t>
      </w:r>
      <w:r w:rsidRPr="001067A6">
        <w:rPr>
          <w:color w:val="000000"/>
          <w:spacing w:val="-4"/>
          <w:lang w:val="fr-FR"/>
        </w:rPr>
        <w:t>enons par exemple un événement</w:t>
      </w:r>
      <w:r w:rsidR="00B36BEA" w:rsidRPr="001067A6">
        <w:rPr>
          <w:color w:val="000000"/>
          <w:spacing w:val="-4"/>
          <w:lang w:val="fr-FR"/>
        </w:rPr>
        <w:t> </w:t>
      </w:r>
      <w:r w:rsidRPr="001067A6">
        <w:rPr>
          <w:color w:val="000000"/>
          <w:spacing w:val="-4"/>
          <w:lang w:val="fr-FR"/>
        </w:rPr>
        <w:t>Q10 Document publ</w:t>
      </w:r>
      <w:r w:rsidR="00BA343C" w:rsidRPr="001067A6">
        <w:rPr>
          <w:color w:val="000000"/>
          <w:spacing w:val="-4"/>
          <w:lang w:val="fr-FR"/>
        </w:rPr>
        <w:t>ié.  Su</w:t>
      </w:r>
      <w:r w:rsidRPr="001067A6">
        <w:rPr>
          <w:color w:val="000000"/>
          <w:spacing w:val="-4"/>
          <w:lang w:val="fr-FR"/>
        </w:rPr>
        <w:t>pposons que le document ait trait à l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exam</w:t>
      </w:r>
      <w:r w:rsidR="00BA343C" w:rsidRPr="001067A6">
        <w:rPr>
          <w:color w:val="000000"/>
          <w:spacing w:val="-4"/>
          <w:lang w:val="fr-FR"/>
        </w:rPr>
        <w:t>en.  Da</w:t>
      </w:r>
      <w:r w:rsidRPr="001067A6">
        <w:rPr>
          <w:color w:val="000000"/>
          <w:spacing w:val="-4"/>
          <w:lang w:val="fr-FR"/>
        </w:rPr>
        <w:t>ns la mesure où l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 xml:space="preserve">événement </w:t>
      </w:r>
      <w:r w:rsidR="003E0702" w:rsidRPr="001067A6">
        <w:rPr>
          <w:color w:val="000000"/>
          <w:spacing w:val="-4"/>
          <w:lang w:val="fr-FR"/>
        </w:rPr>
        <w:t>“d</w:t>
      </w:r>
      <w:r w:rsidRPr="001067A6">
        <w:rPr>
          <w:color w:val="000000"/>
          <w:spacing w:val="-4"/>
          <w:lang w:val="fr-FR"/>
        </w:rPr>
        <w:t>ocument publi</w:t>
      </w:r>
      <w:r w:rsidR="003E0702" w:rsidRPr="001067A6">
        <w:rPr>
          <w:color w:val="000000"/>
          <w:spacing w:val="-4"/>
          <w:lang w:val="fr-FR"/>
        </w:rPr>
        <w:t>é”</w:t>
      </w:r>
      <w:r w:rsidRPr="001067A6">
        <w:rPr>
          <w:color w:val="000000"/>
          <w:spacing w:val="-4"/>
          <w:lang w:val="fr-FR"/>
        </w:rPr>
        <w:t xml:space="preserve"> appartient à la catégorie Q, il n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y a aucune manière d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indiquer aussi la catégorie D comme faisant partie de l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événeme</w:t>
      </w:r>
      <w:r w:rsidR="00BA343C" w:rsidRPr="001067A6">
        <w:rPr>
          <w:color w:val="000000"/>
          <w:spacing w:val="-4"/>
          <w:lang w:val="fr-FR"/>
        </w:rPr>
        <w:t>nt.  Pa</w:t>
      </w:r>
      <w:r w:rsidRPr="001067A6">
        <w:rPr>
          <w:color w:val="000000"/>
          <w:spacing w:val="-4"/>
          <w:lang w:val="fr-FR"/>
        </w:rPr>
        <w:t>r contre, l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ajout de l</w:t>
      </w:r>
      <w:r w:rsidR="003E0702" w:rsidRPr="001067A6">
        <w:rPr>
          <w:color w:val="000000"/>
          <w:spacing w:val="-4"/>
          <w:lang w:val="fr-FR"/>
        </w:rPr>
        <w:t>’“i</w:t>
      </w:r>
      <w:r w:rsidRPr="001067A6">
        <w:rPr>
          <w:color w:val="000000"/>
          <w:spacing w:val="-4"/>
          <w:lang w:val="fr-FR"/>
        </w:rPr>
        <w:t>ndicateur de procédur</w:t>
      </w:r>
      <w:r w:rsidR="003E0702" w:rsidRPr="001067A6">
        <w:rPr>
          <w:color w:val="000000"/>
          <w:spacing w:val="-4"/>
          <w:lang w:val="fr-FR"/>
        </w:rPr>
        <w:t>e”</w:t>
      </w:r>
      <w:r w:rsidRPr="001067A6">
        <w:rPr>
          <w:color w:val="000000"/>
          <w:spacing w:val="-4"/>
          <w:lang w:val="fr-FR"/>
        </w:rPr>
        <w:t xml:space="preserve"> </w:t>
      </w:r>
      <w:r w:rsidR="003E0702" w:rsidRPr="001067A6">
        <w:rPr>
          <w:color w:val="000000"/>
          <w:spacing w:val="-4"/>
          <w:lang w:val="fr-FR"/>
        </w:rPr>
        <w:t>“p</w:t>
      </w:r>
      <w:r w:rsidRPr="001067A6">
        <w:rPr>
          <w:color w:val="000000"/>
          <w:spacing w:val="-4"/>
          <w:lang w:val="fr-FR"/>
        </w:rPr>
        <w:t>rocédure d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exame</w:t>
      </w:r>
      <w:r w:rsidR="003E0702" w:rsidRPr="001067A6">
        <w:rPr>
          <w:color w:val="000000"/>
          <w:spacing w:val="-4"/>
          <w:lang w:val="fr-FR"/>
        </w:rPr>
        <w:t>n”</w:t>
      </w:r>
      <w:r w:rsidRPr="001067A6">
        <w:rPr>
          <w:color w:val="000000"/>
          <w:spacing w:val="-4"/>
          <w:lang w:val="fr-FR"/>
        </w:rPr>
        <w:t xml:space="preserve"> montre que l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événement</w:t>
      </w:r>
      <w:r w:rsidR="00B36BEA" w:rsidRPr="001067A6">
        <w:rPr>
          <w:color w:val="000000"/>
          <w:spacing w:val="-4"/>
          <w:lang w:val="fr-FR"/>
        </w:rPr>
        <w:t> </w:t>
      </w:r>
      <w:r w:rsidRPr="001067A6">
        <w:rPr>
          <w:color w:val="000000"/>
          <w:spacing w:val="-4"/>
          <w:lang w:val="fr-FR"/>
        </w:rPr>
        <w:t>Q10 porte sur l</w:t>
      </w:r>
      <w:r w:rsidR="003E0702" w:rsidRPr="001067A6">
        <w:rPr>
          <w:color w:val="000000"/>
          <w:spacing w:val="-4"/>
          <w:lang w:val="fr-FR"/>
        </w:rPr>
        <w:t>’</w:t>
      </w:r>
      <w:r w:rsidRPr="001067A6">
        <w:rPr>
          <w:color w:val="000000"/>
          <w:spacing w:val="-4"/>
          <w:lang w:val="fr-FR"/>
        </w:rPr>
        <w:t>examen.</w:t>
      </w:r>
    </w:p>
    <w:p w:rsidR="001D68F5" w:rsidRPr="00BA343C" w:rsidRDefault="001D68F5" w:rsidP="00B36BEA">
      <w:pPr>
        <w:pStyle w:val="ONUMFS"/>
        <w:rPr>
          <w:lang w:val="fr-FR"/>
        </w:rPr>
      </w:pPr>
      <w:r w:rsidRPr="00BA343C">
        <w:rPr>
          <w:lang w:val="fr-FR"/>
        </w:rPr>
        <w:t>L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équipe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experts a envisagé plusieurs codages possibles pour les “indicateurs de procédure”, notamment l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utilisation d</w:t>
      </w:r>
      <w:r w:rsidR="003E0702" w:rsidRPr="00BA343C">
        <w:rPr>
          <w:lang w:val="fr-FR"/>
        </w:rPr>
        <w:t>’</w:t>
      </w:r>
      <w:r w:rsidRPr="00BA343C">
        <w:rPr>
          <w:lang w:val="fr-FR"/>
        </w:rPr>
        <w:t>un, de deux, ou de trois</w:t>
      </w:r>
      <w:r w:rsidR="00E427C4" w:rsidRPr="00BA343C">
        <w:rPr>
          <w:lang w:val="fr-FR"/>
        </w:rPr>
        <w:t> </w:t>
      </w:r>
      <w:r w:rsidRPr="00BA343C">
        <w:rPr>
          <w:lang w:val="fr-FR"/>
        </w:rPr>
        <w:t>caractèr</w:t>
      </w:r>
      <w:r w:rsidR="00BA343C" w:rsidRPr="00BA343C">
        <w:rPr>
          <w:lang w:val="fr-FR"/>
        </w:rPr>
        <w:t>es.  Ap</w:t>
      </w:r>
      <w:r w:rsidRPr="00BA343C">
        <w:rPr>
          <w:lang w:val="fr-FR"/>
        </w:rPr>
        <w:t>rès discussion, elle a choisi de privilégier un codage facile à déchiffrer pour les utilisateu</w:t>
      </w:r>
      <w:r w:rsidR="00BA343C" w:rsidRPr="00BA343C">
        <w:rPr>
          <w:lang w:val="fr-FR"/>
        </w:rPr>
        <w:t>rs.  El</w:t>
      </w:r>
      <w:r w:rsidRPr="00BA343C">
        <w:rPr>
          <w:lang w:val="fr-FR"/>
        </w:rPr>
        <w:t>le a ainsi retenu les codes à trois</w:t>
      </w:r>
      <w:r w:rsidR="00E427C4" w:rsidRPr="00BA343C">
        <w:rPr>
          <w:lang w:val="fr-FR"/>
        </w:rPr>
        <w:t> </w:t>
      </w:r>
      <w:r w:rsidRPr="00BA343C">
        <w:rPr>
          <w:lang w:val="fr-FR"/>
        </w:rPr>
        <w:t>lettres proposés pour assurer une certaine ressemblance avec les termes (anglais) désignant les procédures.</w:t>
      </w:r>
    </w:p>
    <w:p w:rsidR="001D68F5" w:rsidRPr="00BA343C" w:rsidRDefault="00B36BEA" w:rsidP="00B36BEA">
      <w:pPr>
        <w:pStyle w:val="Heading2"/>
        <w:rPr>
          <w:lang w:val="fr-FR"/>
        </w:rPr>
      </w:pPr>
      <w:r>
        <w:rPr>
          <w:lang w:val="fr-FR"/>
        </w:rPr>
        <w:t>P</w:t>
      </w:r>
      <w:r w:rsidRPr="00BA343C">
        <w:rPr>
          <w:lang w:val="fr-FR"/>
        </w:rPr>
        <w:t>rogramme de travail</w:t>
      </w:r>
    </w:p>
    <w:p w:rsidR="003E0702" w:rsidRPr="00BA343C" w:rsidRDefault="001D68F5" w:rsidP="00B36BEA">
      <w:pPr>
        <w:pStyle w:val="ONUMFS"/>
        <w:rPr>
          <w:lang w:val="fr-FR"/>
        </w:rPr>
      </w:pPr>
      <w:r w:rsidRPr="00BA343C">
        <w:rPr>
          <w:color w:val="000000"/>
          <w:lang w:val="fr-FR"/>
        </w:rPr>
        <w:t>Si</w:t>
      </w:r>
      <w:r w:rsidR="003E0702" w:rsidRPr="00BA343C">
        <w:rPr>
          <w:color w:val="000000"/>
          <w:lang w:val="fr-FR"/>
        </w:rPr>
        <w:t xml:space="preserve"> le CWS</w:t>
      </w:r>
      <w:r w:rsidRPr="00BA343C">
        <w:rPr>
          <w:color w:val="000000"/>
          <w:lang w:val="fr-FR"/>
        </w:rPr>
        <w:t xml:space="preserve"> approuve la proposition relative à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 xml:space="preserve">insertion des </w:t>
      </w:r>
      <w:r w:rsidR="003E0702" w:rsidRPr="00BA343C">
        <w:rPr>
          <w:color w:val="000000"/>
          <w:lang w:val="fr-FR"/>
        </w:rPr>
        <w:t>“i</w:t>
      </w:r>
      <w:r w:rsidRPr="00BA343C">
        <w:rPr>
          <w:color w:val="000000"/>
          <w:lang w:val="fr-FR"/>
        </w:rPr>
        <w:t>ndicateurs de procédur</w:t>
      </w:r>
      <w:r w:rsidR="003E0702" w:rsidRPr="00BA343C">
        <w:rPr>
          <w:color w:val="000000"/>
          <w:lang w:val="fr-FR"/>
        </w:rPr>
        <w:t>e”</w:t>
      </w:r>
      <w:r w:rsidRPr="00BA343C">
        <w:rPr>
          <w:color w:val="000000"/>
          <w:lang w:val="fr-FR"/>
        </w:rPr>
        <w:t xml:space="preserve"> dans la norme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ST.27, l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équipe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experts propose d</w:t>
      </w:r>
      <w:r w:rsidR="003E0702" w:rsidRPr="00BA343C">
        <w:rPr>
          <w:color w:val="000000"/>
          <w:lang w:val="fr-FR"/>
        </w:rPr>
        <w:t>’</w:t>
      </w:r>
      <w:r w:rsidRPr="00BA343C">
        <w:rPr>
          <w:color w:val="000000"/>
          <w:lang w:val="fr-FR"/>
        </w:rPr>
        <w:t>examiner comment adapter ces indicateurs dans le cas des normes</w:t>
      </w:r>
      <w:r w:rsidR="00E427C4" w:rsidRPr="00BA343C">
        <w:rPr>
          <w:color w:val="000000"/>
          <w:lang w:val="fr-FR"/>
        </w:rPr>
        <w:t> </w:t>
      </w:r>
      <w:r w:rsidRPr="00BA343C">
        <w:rPr>
          <w:color w:val="000000"/>
          <w:lang w:val="fr-FR"/>
        </w:rPr>
        <w:t>ST.61 et ST.87, et de soumettre une proposition à ce sujet</w:t>
      </w:r>
      <w:r w:rsidR="003E0702" w:rsidRPr="00BA343C">
        <w:rPr>
          <w:color w:val="000000"/>
          <w:lang w:val="fr-FR"/>
        </w:rPr>
        <w:t xml:space="preserve"> au CWS</w:t>
      </w:r>
      <w:r w:rsidRPr="00BA343C">
        <w:rPr>
          <w:color w:val="000000"/>
          <w:lang w:val="fr-FR"/>
        </w:rPr>
        <w:t xml:space="preserve"> pour examen à sa dix</w:t>
      </w:r>
      <w:r w:rsidR="003E0702" w:rsidRPr="00BA343C">
        <w:rPr>
          <w:color w:val="000000"/>
          <w:lang w:val="fr-FR"/>
        </w:rPr>
        <w:t>ième session</w:t>
      </w:r>
      <w:r w:rsidRPr="00BA343C">
        <w:rPr>
          <w:color w:val="000000"/>
          <w:lang w:val="fr-FR"/>
        </w:rPr>
        <w:t>.</w:t>
      </w:r>
    </w:p>
    <w:p w:rsidR="003E0702" w:rsidRPr="00B36BEA" w:rsidRDefault="003E0702" w:rsidP="00B36BEA">
      <w:pPr>
        <w:pStyle w:val="ONUMFS"/>
        <w:tabs>
          <w:tab w:val="left" w:pos="6096"/>
        </w:tabs>
        <w:ind w:left="5533"/>
        <w:rPr>
          <w:i/>
        </w:rPr>
      </w:pPr>
      <w:r w:rsidRPr="00B36BEA">
        <w:rPr>
          <w:i/>
        </w:rPr>
        <w:t>Le CWS</w:t>
      </w:r>
      <w:r w:rsidR="001D68F5" w:rsidRPr="00B36BEA">
        <w:rPr>
          <w:i/>
        </w:rPr>
        <w:t xml:space="preserve"> est invité</w:t>
      </w:r>
    </w:p>
    <w:p w:rsidR="003E0702" w:rsidRPr="00B36BEA" w:rsidRDefault="001D68F5" w:rsidP="00B36BEA">
      <w:pPr>
        <w:pStyle w:val="ONUMFS"/>
        <w:numPr>
          <w:ilvl w:val="1"/>
          <w:numId w:val="6"/>
        </w:numPr>
        <w:tabs>
          <w:tab w:val="left" w:pos="6663"/>
        </w:tabs>
        <w:ind w:left="5533" w:firstLine="563"/>
        <w:rPr>
          <w:i/>
          <w:spacing w:val="-2"/>
        </w:rPr>
      </w:pPr>
      <w:proofErr w:type="gramStart"/>
      <w:r w:rsidRPr="00B36BEA">
        <w:rPr>
          <w:i/>
          <w:spacing w:val="-2"/>
        </w:rPr>
        <w:t>à</w:t>
      </w:r>
      <w:proofErr w:type="gramEnd"/>
      <w:r w:rsidRPr="00B36BEA">
        <w:rPr>
          <w:i/>
          <w:spacing w:val="-2"/>
        </w:rPr>
        <w:t xml:space="preserve"> prendre note du contenu du pr</w:t>
      </w:r>
      <w:r w:rsidR="00B36BEA" w:rsidRPr="00B36BEA">
        <w:rPr>
          <w:i/>
          <w:spacing w:val="-2"/>
        </w:rPr>
        <w:t>ésent document et de son annexe,</w:t>
      </w:r>
    </w:p>
    <w:p w:rsidR="003E0702" w:rsidRPr="00B36BEA" w:rsidRDefault="001D68F5" w:rsidP="00B36BEA">
      <w:pPr>
        <w:pStyle w:val="ONUMFS"/>
        <w:numPr>
          <w:ilvl w:val="1"/>
          <w:numId w:val="6"/>
        </w:numPr>
        <w:tabs>
          <w:tab w:val="left" w:pos="6663"/>
        </w:tabs>
        <w:ind w:left="5533" w:firstLine="563"/>
        <w:rPr>
          <w:i/>
        </w:rPr>
      </w:pPr>
      <w:proofErr w:type="gramStart"/>
      <w:r w:rsidRPr="00B36BEA">
        <w:rPr>
          <w:i/>
        </w:rPr>
        <w:t>à</w:t>
      </w:r>
      <w:proofErr w:type="gramEnd"/>
      <w:r w:rsidRPr="00B36BEA">
        <w:rPr>
          <w:i/>
        </w:rPr>
        <w:t xml:space="preserve"> examiner et approuver la révision proposée des </w:t>
      </w:r>
      <w:r w:rsidR="003E0702" w:rsidRPr="00B36BEA">
        <w:rPr>
          <w:i/>
        </w:rPr>
        <w:t>“i</w:t>
      </w:r>
      <w:r w:rsidRPr="00B36BEA">
        <w:rPr>
          <w:i/>
        </w:rPr>
        <w:t>ndicateurs d</w:t>
      </w:r>
      <w:r w:rsidR="003E0702" w:rsidRPr="00B36BEA">
        <w:rPr>
          <w:i/>
        </w:rPr>
        <w:t>’</w:t>
      </w:r>
      <w:r w:rsidRPr="00B36BEA">
        <w:rPr>
          <w:i/>
        </w:rPr>
        <w:t>événement</w:t>
      </w:r>
      <w:r w:rsidR="003E0702" w:rsidRPr="00B36BEA">
        <w:rPr>
          <w:i/>
        </w:rPr>
        <w:t>s”</w:t>
      </w:r>
      <w:r w:rsidRPr="00B36BEA">
        <w:rPr>
          <w:i/>
        </w:rPr>
        <w:t xml:space="preserve"> concernant la </w:t>
      </w:r>
      <w:r w:rsidR="003E0702" w:rsidRPr="00B36BEA">
        <w:rPr>
          <w:i/>
        </w:rPr>
        <w:t>“N</w:t>
      </w:r>
      <w:r w:rsidRPr="00B36BEA">
        <w:rPr>
          <w:i/>
        </w:rPr>
        <w:t>orme</w:t>
      </w:r>
      <w:r w:rsidR="00B36BEA" w:rsidRPr="00B36BEA">
        <w:rPr>
          <w:i/>
        </w:rPr>
        <w:t> </w:t>
      </w:r>
      <w:r w:rsidRPr="00B36BEA">
        <w:rPr>
          <w:i/>
        </w:rPr>
        <w:t>ST.27</w:t>
      </w:r>
      <w:r w:rsidR="003E0702" w:rsidRPr="00B36BEA">
        <w:rPr>
          <w:i/>
        </w:rPr>
        <w:t> :</w:t>
      </w:r>
      <w:r w:rsidRPr="00B36BEA">
        <w:rPr>
          <w:i/>
        </w:rPr>
        <w:t xml:space="preserve"> Échange de données sur la situation juridique des brevet</w:t>
      </w:r>
      <w:r w:rsidR="003E0702" w:rsidRPr="00B36BEA">
        <w:rPr>
          <w:i/>
        </w:rPr>
        <w:t>s”</w:t>
      </w:r>
      <w:r w:rsidRPr="00B36BEA">
        <w:rPr>
          <w:i/>
        </w:rPr>
        <w:t>, telle qu</w:t>
      </w:r>
      <w:r w:rsidR="003E0702" w:rsidRPr="00B36BEA">
        <w:rPr>
          <w:i/>
        </w:rPr>
        <w:t>’</w:t>
      </w:r>
      <w:r w:rsidRPr="00B36BEA">
        <w:rPr>
          <w:i/>
        </w:rPr>
        <w:t xml:space="preserve">exposée aux </w:t>
      </w:r>
      <w:r w:rsidR="003E0702" w:rsidRPr="00B36BEA">
        <w:rPr>
          <w:i/>
        </w:rPr>
        <w:t>paragraphes 1</w:t>
      </w:r>
      <w:r w:rsidR="001067A6">
        <w:rPr>
          <w:i/>
        </w:rPr>
        <w:t>0 à </w:t>
      </w:r>
      <w:r w:rsidR="00B36BEA">
        <w:rPr>
          <w:i/>
        </w:rPr>
        <w:t>13 du présent document,</w:t>
      </w:r>
    </w:p>
    <w:p w:rsidR="001D68F5" w:rsidRPr="00B36BEA" w:rsidRDefault="001D68F5" w:rsidP="00B36BEA">
      <w:pPr>
        <w:pStyle w:val="ONUMFS"/>
        <w:numPr>
          <w:ilvl w:val="1"/>
          <w:numId w:val="6"/>
        </w:numPr>
        <w:tabs>
          <w:tab w:val="left" w:pos="6663"/>
        </w:tabs>
        <w:ind w:left="5533" w:firstLine="563"/>
        <w:rPr>
          <w:i/>
        </w:rPr>
      </w:pPr>
      <w:proofErr w:type="gramStart"/>
      <w:r w:rsidRPr="00B36BEA">
        <w:rPr>
          <w:i/>
        </w:rPr>
        <w:t>examiner</w:t>
      </w:r>
      <w:proofErr w:type="gramEnd"/>
      <w:r w:rsidRPr="00B36BEA">
        <w:rPr>
          <w:i/>
        </w:rPr>
        <w:t xml:space="preserve"> et approuver l</w:t>
      </w:r>
      <w:r w:rsidR="003E0702" w:rsidRPr="00B36BEA">
        <w:rPr>
          <w:i/>
        </w:rPr>
        <w:t>’</w:t>
      </w:r>
      <w:r w:rsidRPr="00B36BEA">
        <w:rPr>
          <w:i/>
        </w:rPr>
        <w:t>adjonction d</w:t>
      </w:r>
      <w:r w:rsidR="003E0702" w:rsidRPr="00B36BEA">
        <w:rPr>
          <w:i/>
        </w:rPr>
        <w:t>’</w:t>
      </w:r>
      <w:r w:rsidRPr="00B36BEA">
        <w:rPr>
          <w:i/>
        </w:rPr>
        <w:t xml:space="preserve">un nouvel appendice intitulé </w:t>
      </w:r>
      <w:r w:rsidR="003E0702" w:rsidRPr="00B36BEA">
        <w:rPr>
          <w:i/>
        </w:rPr>
        <w:t>“L</w:t>
      </w:r>
      <w:r w:rsidRPr="00B36BEA">
        <w:rPr>
          <w:i/>
        </w:rPr>
        <w:t>iste des indicateurs relatifs aux événement</w:t>
      </w:r>
      <w:r w:rsidR="003E0702" w:rsidRPr="00B36BEA">
        <w:rPr>
          <w:i/>
        </w:rPr>
        <w:t>s”</w:t>
      </w:r>
      <w:r w:rsidRPr="00B36BEA">
        <w:rPr>
          <w:i/>
        </w:rPr>
        <w:t xml:space="preserve"> à l</w:t>
      </w:r>
      <w:r w:rsidR="003E0702" w:rsidRPr="00B36BEA">
        <w:rPr>
          <w:i/>
        </w:rPr>
        <w:t>’annexe I</w:t>
      </w:r>
      <w:r w:rsidRPr="00B36BEA">
        <w:rPr>
          <w:i/>
        </w:rPr>
        <w:t xml:space="preserve"> de la Norme</w:t>
      </w:r>
      <w:r w:rsidR="00B36BEA" w:rsidRPr="00B36BEA">
        <w:rPr>
          <w:i/>
        </w:rPr>
        <w:t> </w:t>
      </w:r>
      <w:r w:rsidRPr="00B36BEA">
        <w:rPr>
          <w:i/>
        </w:rPr>
        <w:t>ST.27 de l</w:t>
      </w:r>
      <w:r w:rsidR="003E0702" w:rsidRPr="00B36BEA">
        <w:rPr>
          <w:i/>
        </w:rPr>
        <w:t>’</w:t>
      </w:r>
      <w:r w:rsidRPr="00B36BEA">
        <w:rPr>
          <w:i/>
        </w:rPr>
        <w:t xml:space="preserve">OMPI, tel que décrit aux </w:t>
      </w:r>
      <w:r w:rsidR="003E0702" w:rsidRPr="00B36BEA">
        <w:rPr>
          <w:i/>
        </w:rPr>
        <w:t>paragraphes 1</w:t>
      </w:r>
      <w:r w:rsidRPr="00B36BEA">
        <w:rPr>
          <w:i/>
        </w:rPr>
        <w:t>4 à 20 du prése</w:t>
      </w:r>
      <w:r w:rsidR="00B36BEA">
        <w:rPr>
          <w:i/>
        </w:rPr>
        <w:t>nt document et dans son annexe,</w:t>
      </w:r>
      <w:r w:rsidR="00E427C4" w:rsidRPr="00B36BEA">
        <w:rPr>
          <w:i/>
        </w:rPr>
        <w:t xml:space="preserve"> </w:t>
      </w:r>
      <w:r w:rsidRPr="00B36BEA">
        <w:rPr>
          <w:i/>
        </w:rPr>
        <w:t>et</w:t>
      </w:r>
    </w:p>
    <w:p w:rsidR="001D68F5" w:rsidRPr="001067A6" w:rsidRDefault="001D68F5" w:rsidP="001067A6">
      <w:pPr>
        <w:pStyle w:val="ONUMFS"/>
        <w:numPr>
          <w:ilvl w:val="1"/>
          <w:numId w:val="6"/>
        </w:numPr>
        <w:tabs>
          <w:tab w:val="left" w:pos="6663"/>
        </w:tabs>
        <w:ind w:left="5533" w:right="-143" w:firstLine="563"/>
        <w:rPr>
          <w:i/>
          <w:spacing w:val="-2"/>
        </w:rPr>
      </w:pPr>
      <w:proofErr w:type="gramStart"/>
      <w:r w:rsidRPr="001067A6">
        <w:rPr>
          <w:i/>
          <w:spacing w:val="-2"/>
        </w:rPr>
        <w:t>à</w:t>
      </w:r>
      <w:proofErr w:type="gramEnd"/>
      <w:r w:rsidRPr="001067A6">
        <w:rPr>
          <w:i/>
          <w:spacing w:val="-2"/>
        </w:rPr>
        <w:t xml:space="preserve"> examiner et approuver le programme de travail proposé par l</w:t>
      </w:r>
      <w:r w:rsidR="003E0702" w:rsidRPr="001067A6">
        <w:rPr>
          <w:i/>
          <w:spacing w:val="-2"/>
        </w:rPr>
        <w:t>’</w:t>
      </w:r>
      <w:r w:rsidRPr="001067A6">
        <w:rPr>
          <w:i/>
          <w:spacing w:val="-2"/>
        </w:rPr>
        <w:t>Équipe d</w:t>
      </w:r>
      <w:r w:rsidR="003E0702" w:rsidRPr="001067A6">
        <w:rPr>
          <w:i/>
          <w:spacing w:val="-2"/>
        </w:rPr>
        <w:t>’</w:t>
      </w:r>
      <w:r w:rsidRPr="001067A6">
        <w:rPr>
          <w:i/>
          <w:spacing w:val="-2"/>
        </w:rPr>
        <w:t xml:space="preserve">experts chargée de la situation juridique au </w:t>
      </w:r>
      <w:r w:rsidR="003E0702" w:rsidRPr="001067A6">
        <w:rPr>
          <w:i/>
          <w:spacing w:val="-2"/>
        </w:rPr>
        <w:t>paragraphe 2</w:t>
      </w:r>
      <w:r w:rsidRPr="001067A6">
        <w:rPr>
          <w:i/>
          <w:spacing w:val="-2"/>
        </w:rPr>
        <w:t>1 ci</w:t>
      </w:r>
      <w:r w:rsidR="00B36BEA" w:rsidRPr="001067A6">
        <w:rPr>
          <w:i/>
          <w:spacing w:val="-2"/>
        </w:rPr>
        <w:noBreakHyphen/>
      </w:r>
      <w:r w:rsidRPr="001067A6">
        <w:rPr>
          <w:i/>
          <w:spacing w:val="-2"/>
        </w:rPr>
        <w:t>dessus.</w:t>
      </w:r>
    </w:p>
    <w:p w:rsidR="000F5E56" w:rsidRPr="00BA343C" w:rsidRDefault="001D68F5" w:rsidP="001067A6">
      <w:pPr>
        <w:pStyle w:val="Endofdocument"/>
      </w:pPr>
      <w:r w:rsidRPr="00BA343C">
        <w:t>[L</w:t>
      </w:r>
      <w:r w:rsidR="003E0702" w:rsidRPr="00BA343C">
        <w:t>’</w:t>
      </w:r>
      <w:r w:rsidRPr="00BA343C">
        <w:t>annexe suit]</w:t>
      </w:r>
    </w:p>
    <w:sectPr w:rsidR="000F5E56" w:rsidRPr="00BA343C" w:rsidSect="001D68F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74" w:rsidRDefault="00FD5C74">
      <w:r>
        <w:separator/>
      </w:r>
    </w:p>
  </w:endnote>
  <w:endnote w:type="continuationSeparator" w:id="0">
    <w:p w:rsidR="00FD5C74" w:rsidRPr="009D30E6" w:rsidRDefault="00FD5C7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D5C74" w:rsidRPr="009D30E6" w:rsidRDefault="00FD5C7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FD5C74" w:rsidRPr="009D30E6" w:rsidRDefault="00FD5C7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74" w:rsidRDefault="00FD5C74">
      <w:r>
        <w:separator/>
      </w:r>
    </w:p>
  </w:footnote>
  <w:footnote w:type="continuationSeparator" w:id="0">
    <w:p w:rsidR="00FD5C74" w:rsidRDefault="00FD5C74" w:rsidP="007461F1">
      <w:r>
        <w:separator/>
      </w:r>
    </w:p>
    <w:p w:rsidR="00FD5C74" w:rsidRPr="009D30E6" w:rsidRDefault="00FD5C7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FD5C74" w:rsidRPr="009D30E6" w:rsidRDefault="00FD5C7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1D68F5" w:rsidP="00477D6B">
    <w:pPr>
      <w:jc w:val="right"/>
      <w:rPr>
        <w:caps/>
      </w:rPr>
    </w:pPr>
    <w:bookmarkStart w:id="6" w:name="Code2"/>
    <w:bookmarkEnd w:id="6"/>
    <w:r>
      <w:rPr>
        <w:caps/>
      </w:rPr>
      <w:t>CWS/9/9</w:t>
    </w:r>
  </w:p>
  <w:p w:rsidR="00574036" w:rsidRDefault="001D68F5" w:rsidP="001D68F5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974536">
      <w:rPr>
        <w:noProof/>
      </w:rPr>
      <w:t>5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E47B5"/>
    <w:multiLevelType w:val="multilevel"/>
    <w:tmpl w:val="01708110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200070"/>
    <w:multiLevelType w:val="multilevel"/>
    <w:tmpl w:val="0890F3B0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720321A2"/>
    <w:multiLevelType w:val="multilevel"/>
    <w:tmpl w:val="E1064684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78F516EB"/>
    <w:multiLevelType w:val="multilevel"/>
    <w:tmpl w:val="E1064684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5"/>
    <w:rsid w:val="00011B7D"/>
    <w:rsid w:val="00012638"/>
    <w:rsid w:val="00037E41"/>
    <w:rsid w:val="00075432"/>
    <w:rsid w:val="0009458A"/>
    <w:rsid w:val="000F36E8"/>
    <w:rsid w:val="000F5E56"/>
    <w:rsid w:val="001067A6"/>
    <w:rsid w:val="001362EE"/>
    <w:rsid w:val="001832A6"/>
    <w:rsid w:val="00192DFB"/>
    <w:rsid w:val="00195C6E"/>
    <w:rsid w:val="001B266A"/>
    <w:rsid w:val="001B488E"/>
    <w:rsid w:val="001C6508"/>
    <w:rsid w:val="001D3D56"/>
    <w:rsid w:val="001D68F5"/>
    <w:rsid w:val="00202380"/>
    <w:rsid w:val="00240654"/>
    <w:rsid w:val="002634C4"/>
    <w:rsid w:val="0027699E"/>
    <w:rsid w:val="002956DE"/>
    <w:rsid w:val="002E4D1A"/>
    <w:rsid w:val="002F16BC"/>
    <w:rsid w:val="002F4E68"/>
    <w:rsid w:val="00322C0B"/>
    <w:rsid w:val="00381798"/>
    <w:rsid w:val="003845C1"/>
    <w:rsid w:val="003A0363"/>
    <w:rsid w:val="003A67A3"/>
    <w:rsid w:val="003E0702"/>
    <w:rsid w:val="004008A2"/>
    <w:rsid w:val="004025DF"/>
    <w:rsid w:val="0040540C"/>
    <w:rsid w:val="00423E3E"/>
    <w:rsid w:val="00427AF4"/>
    <w:rsid w:val="004527EA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4AA1"/>
    <w:rsid w:val="00595F07"/>
    <w:rsid w:val="005E6516"/>
    <w:rsid w:val="005E74C9"/>
    <w:rsid w:val="00605827"/>
    <w:rsid w:val="00616671"/>
    <w:rsid w:val="00632A7B"/>
    <w:rsid w:val="00655AED"/>
    <w:rsid w:val="006B0DB5"/>
    <w:rsid w:val="00740CFE"/>
    <w:rsid w:val="007461F1"/>
    <w:rsid w:val="007937B0"/>
    <w:rsid w:val="007D6961"/>
    <w:rsid w:val="007F07CB"/>
    <w:rsid w:val="00810CEF"/>
    <w:rsid w:val="0081208D"/>
    <w:rsid w:val="008B2CC1"/>
    <w:rsid w:val="008C0750"/>
    <w:rsid w:val="008E7930"/>
    <w:rsid w:val="0090731E"/>
    <w:rsid w:val="00966A22"/>
    <w:rsid w:val="00974536"/>
    <w:rsid w:val="00974CD6"/>
    <w:rsid w:val="009D30E6"/>
    <w:rsid w:val="009E3F6F"/>
    <w:rsid w:val="009F499F"/>
    <w:rsid w:val="00A11D74"/>
    <w:rsid w:val="00A600BA"/>
    <w:rsid w:val="00AC0AE4"/>
    <w:rsid w:val="00AD61DB"/>
    <w:rsid w:val="00AE6EEE"/>
    <w:rsid w:val="00B1090C"/>
    <w:rsid w:val="00B35AF5"/>
    <w:rsid w:val="00B36BEA"/>
    <w:rsid w:val="00B45C15"/>
    <w:rsid w:val="00B97864"/>
    <w:rsid w:val="00BA343C"/>
    <w:rsid w:val="00BE0BE0"/>
    <w:rsid w:val="00C664C8"/>
    <w:rsid w:val="00CF0460"/>
    <w:rsid w:val="00CF341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427C4"/>
    <w:rsid w:val="00E5217A"/>
    <w:rsid w:val="00E527A5"/>
    <w:rsid w:val="00E76456"/>
    <w:rsid w:val="00EE71CB"/>
    <w:rsid w:val="00F06D4F"/>
    <w:rsid w:val="00F16975"/>
    <w:rsid w:val="00F66152"/>
    <w:rsid w:val="00FD5C74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A1EA12-A2E4-4372-9A2B-BCB0B0B6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037E41"/>
    <w:pPr>
      <w:spacing w:before="0" w:after="480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037E4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character" w:customStyle="1" w:styleId="Heading2Char">
    <w:name w:val="Heading 2 Char"/>
    <w:basedOn w:val="DefaultParagraphFont"/>
    <w:link w:val="Heading2"/>
    <w:rsid w:val="001D68F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Endofdocument">
    <w:name w:val="End of document"/>
    <w:basedOn w:val="Normal"/>
    <w:rsid w:val="001D68F5"/>
    <w:pPr>
      <w:spacing w:before="720" w:line="260" w:lineRule="atLeast"/>
      <w:ind w:left="5534"/>
    </w:pPr>
    <w:rPr>
      <w:rFonts w:eastAsia="Times New Roman" w:cs="Times New Roman"/>
      <w:szCs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1D68F5"/>
    <w:pPr>
      <w:ind w:left="567"/>
    </w:pPr>
    <w:rPr>
      <w:lang w:val="en-US"/>
    </w:rPr>
  </w:style>
  <w:style w:type="character" w:customStyle="1" w:styleId="ONUMEChar">
    <w:name w:val="ONUM E Char"/>
    <w:basedOn w:val="DefaultParagraphFont"/>
    <w:link w:val="ONUME"/>
    <w:rsid w:val="001D68F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BA343C"/>
    <w:rPr>
      <w:color w:val="0000FF" w:themeColor="hyperlink"/>
      <w:u w:val="single"/>
    </w:rPr>
  </w:style>
  <w:style w:type="paragraph" w:customStyle="1" w:styleId="Bulletedlistlevel2">
    <w:name w:val="Bulleted list level 2"/>
    <w:basedOn w:val="Normal"/>
    <w:rsid w:val="00B36BE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2D83-9D43-4FA1-91A9-332E5282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(F)</Template>
  <TotalTime>1</TotalTime>
  <Pages>5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CWS/9/9</vt:lpstr>
    </vt:vector>
  </TitlesOfParts>
  <Company>WIPO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CWS/9/9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2021-10-06T10:36:00Z</dcterms:created>
  <dcterms:modified xsi:type="dcterms:W3CDTF">2021-10-06T10:36:00Z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eb7a0301-a09b-4b7d-bf25-247b90ccf23d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