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65BE8" w:rsidRPr="00F25803" w:rsidTr="000F2DBA">
        <w:trPr>
          <w:trHeight w:val="1977"/>
        </w:trPr>
        <w:tc>
          <w:tcPr>
            <w:tcW w:w="4594" w:type="dxa"/>
            <w:tcBorders>
              <w:bottom w:val="single" w:sz="4" w:space="0" w:color="auto"/>
            </w:tcBorders>
            <w:tcMar>
              <w:bottom w:w="170" w:type="dxa"/>
            </w:tcMar>
          </w:tcPr>
          <w:p w:rsidR="00C65BE8" w:rsidRPr="00F25803" w:rsidRDefault="00C65BE8" w:rsidP="000F2DBA">
            <w:pPr>
              <w:jc w:val="both"/>
            </w:pPr>
            <w:bookmarkStart w:id="0" w:name="TitleOfDoc"/>
            <w:bookmarkEnd w:id="0"/>
            <w:r w:rsidRPr="00F25803">
              <w:rPr>
                <w:noProof/>
                <w:lang w:eastAsia="en-US"/>
              </w:rPr>
              <w:drawing>
                <wp:anchor distT="0" distB="0" distL="114300" distR="114300" simplePos="0" relativeHeight="251659264" behindDoc="1" locked="0" layoutInCell="0" allowOverlap="1" wp14:anchorId="53AB2B6E" wp14:editId="68ADF266">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65BE8" w:rsidRPr="00F25803" w:rsidRDefault="00C65BE8" w:rsidP="000F2DBA"/>
        </w:tc>
        <w:tc>
          <w:tcPr>
            <w:tcW w:w="425" w:type="dxa"/>
            <w:tcBorders>
              <w:bottom w:val="single" w:sz="4" w:space="0" w:color="auto"/>
            </w:tcBorders>
            <w:tcMar>
              <w:left w:w="0" w:type="dxa"/>
              <w:right w:w="0" w:type="dxa"/>
            </w:tcMar>
          </w:tcPr>
          <w:p w:rsidR="00C65BE8" w:rsidRPr="00F25803" w:rsidRDefault="00C65BE8" w:rsidP="000F2DBA">
            <w:pPr>
              <w:jc w:val="right"/>
            </w:pPr>
            <w:r w:rsidRPr="00F25803">
              <w:rPr>
                <w:b/>
                <w:sz w:val="40"/>
                <w:szCs w:val="40"/>
              </w:rPr>
              <w:t>C</w:t>
            </w:r>
          </w:p>
        </w:tc>
      </w:tr>
      <w:tr w:rsidR="00C65BE8" w:rsidRPr="00F25803" w:rsidTr="000F2DBA">
        <w:trPr>
          <w:trHeight w:hRule="exact" w:val="340"/>
        </w:trPr>
        <w:tc>
          <w:tcPr>
            <w:tcW w:w="9356" w:type="dxa"/>
            <w:gridSpan w:val="3"/>
            <w:tcBorders>
              <w:top w:val="single" w:sz="4" w:space="0" w:color="auto"/>
            </w:tcBorders>
            <w:tcMar>
              <w:top w:w="170" w:type="dxa"/>
              <w:left w:w="0" w:type="dxa"/>
              <w:right w:w="0" w:type="dxa"/>
            </w:tcMar>
            <w:vAlign w:val="bottom"/>
          </w:tcPr>
          <w:p w:rsidR="00C65BE8" w:rsidRPr="00F25803" w:rsidRDefault="00C65BE8" w:rsidP="00C65BE8">
            <w:pPr>
              <w:jc w:val="right"/>
              <w:rPr>
                <w:rFonts w:ascii="Arial Black" w:hAnsi="Arial Black"/>
                <w:caps/>
                <w:sz w:val="15"/>
              </w:rPr>
            </w:pPr>
            <w:r w:rsidRPr="00F25803">
              <w:rPr>
                <w:rFonts w:ascii="Arial Black" w:hAnsi="Arial Black" w:hint="eastAsia"/>
                <w:caps/>
                <w:sz w:val="15"/>
              </w:rPr>
              <w:t>cws/4</w:t>
            </w:r>
            <w:r w:rsidRPr="00F25803">
              <w:rPr>
                <w:rFonts w:ascii="Arial Black" w:hAnsi="Arial Black"/>
                <w:caps/>
                <w:sz w:val="15"/>
              </w:rPr>
              <w:t>/</w:t>
            </w:r>
            <w:r>
              <w:rPr>
                <w:rFonts w:ascii="Arial Black" w:hAnsi="Arial Black" w:hint="eastAsia"/>
                <w:caps/>
                <w:sz w:val="15"/>
              </w:rPr>
              <w:t>13</w:t>
            </w:r>
          </w:p>
        </w:tc>
      </w:tr>
      <w:tr w:rsidR="00C65BE8" w:rsidRPr="00F25803" w:rsidTr="000F2DBA">
        <w:trPr>
          <w:trHeight w:hRule="exact" w:val="170"/>
        </w:trPr>
        <w:tc>
          <w:tcPr>
            <w:tcW w:w="9356" w:type="dxa"/>
            <w:gridSpan w:val="3"/>
            <w:noWrap/>
            <w:tcMar>
              <w:left w:w="0" w:type="dxa"/>
              <w:right w:w="0" w:type="dxa"/>
            </w:tcMar>
            <w:vAlign w:val="bottom"/>
          </w:tcPr>
          <w:p w:rsidR="00C65BE8" w:rsidRPr="00F25803" w:rsidRDefault="00C65BE8" w:rsidP="000F2DBA">
            <w:pPr>
              <w:jc w:val="right"/>
              <w:rPr>
                <w:rFonts w:ascii="Arial Black" w:hAnsi="Arial Black"/>
                <w:b/>
                <w:caps/>
                <w:sz w:val="15"/>
                <w:szCs w:val="15"/>
              </w:rPr>
            </w:pPr>
            <w:r w:rsidRPr="00F25803">
              <w:rPr>
                <w:rFonts w:eastAsia="SimHei" w:hint="eastAsia"/>
                <w:b/>
                <w:sz w:val="15"/>
                <w:szCs w:val="15"/>
              </w:rPr>
              <w:t>原</w:t>
            </w:r>
            <w:r w:rsidRPr="00F25803">
              <w:rPr>
                <w:rFonts w:eastAsia="SimHei"/>
                <w:b/>
                <w:sz w:val="15"/>
                <w:szCs w:val="15"/>
                <w:lang w:val="pt-BR"/>
              </w:rPr>
              <w:t xml:space="preserve"> </w:t>
            </w:r>
            <w:r w:rsidRPr="00F25803">
              <w:rPr>
                <w:rFonts w:eastAsia="SimHei" w:hint="eastAsia"/>
                <w:b/>
                <w:sz w:val="15"/>
                <w:szCs w:val="15"/>
              </w:rPr>
              <w:t>文</w:t>
            </w:r>
            <w:r w:rsidRPr="00F25803">
              <w:rPr>
                <w:rFonts w:eastAsia="SimHei" w:hint="eastAsia"/>
                <w:b/>
                <w:sz w:val="15"/>
                <w:szCs w:val="15"/>
                <w:lang w:val="pt-BR"/>
              </w:rPr>
              <w:t>：英</w:t>
            </w:r>
            <w:r w:rsidRPr="00F25803">
              <w:rPr>
                <w:rFonts w:eastAsia="SimHei" w:hint="eastAsia"/>
                <w:b/>
                <w:sz w:val="15"/>
                <w:szCs w:val="15"/>
              </w:rPr>
              <w:t>文</w:t>
            </w:r>
          </w:p>
        </w:tc>
      </w:tr>
      <w:tr w:rsidR="00C65BE8" w:rsidRPr="00F25803" w:rsidTr="000F2DBA">
        <w:trPr>
          <w:trHeight w:hRule="exact" w:val="198"/>
        </w:trPr>
        <w:tc>
          <w:tcPr>
            <w:tcW w:w="9356" w:type="dxa"/>
            <w:gridSpan w:val="3"/>
            <w:tcMar>
              <w:left w:w="0" w:type="dxa"/>
              <w:right w:w="0" w:type="dxa"/>
            </w:tcMar>
            <w:vAlign w:val="bottom"/>
          </w:tcPr>
          <w:p w:rsidR="00C65BE8" w:rsidRPr="00F25803" w:rsidRDefault="00C65BE8" w:rsidP="000F2DBA">
            <w:pPr>
              <w:jc w:val="right"/>
              <w:rPr>
                <w:rFonts w:ascii="SimHei" w:eastAsia="SimHei" w:hAnsi="Arial Black"/>
                <w:b/>
                <w:caps/>
                <w:sz w:val="15"/>
                <w:szCs w:val="15"/>
              </w:rPr>
            </w:pPr>
            <w:r w:rsidRPr="00F25803">
              <w:rPr>
                <w:rFonts w:ascii="SimHei" w:eastAsia="SimHei" w:hint="eastAsia"/>
                <w:b/>
                <w:sz w:val="15"/>
                <w:szCs w:val="15"/>
              </w:rPr>
              <w:t>日</w:t>
            </w:r>
            <w:r w:rsidRPr="00F25803">
              <w:rPr>
                <w:rFonts w:ascii="SimHei" w:eastAsia="SimHei" w:hint="eastAsia"/>
                <w:b/>
                <w:sz w:val="15"/>
                <w:szCs w:val="15"/>
                <w:lang w:val="pt-BR"/>
              </w:rPr>
              <w:t xml:space="preserve"> </w:t>
            </w:r>
            <w:r w:rsidRPr="00F25803">
              <w:rPr>
                <w:rFonts w:ascii="SimHei" w:eastAsia="SimHei" w:hint="eastAsia"/>
                <w:b/>
                <w:sz w:val="15"/>
                <w:szCs w:val="15"/>
              </w:rPr>
              <w:t>期</w:t>
            </w:r>
            <w:r w:rsidRPr="00F25803">
              <w:rPr>
                <w:rFonts w:ascii="SimHei" w:eastAsia="SimHei" w:hAnsi="SimSun" w:hint="eastAsia"/>
                <w:b/>
                <w:sz w:val="15"/>
                <w:szCs w:val="15"/>
                <w:lang w:val="pt-BR"/>
              </w:rPr>
              <w:t>：</w:t>
            </w:r>
            <w:r w:rsidRPr="00F25803">
              <w:rPr>
                <w:rFonts w:ascii="Arial Black" w:eastAsia="SimHei" w:hAnsi="Arial Black"/>
                <w:b/>
                <w:sz w:val="15"/>
                <w:szCs w:val="15"/>
                <w:lang w:val="pt-BR"/>
              </w:rPr>
              <w:t>201</w:t>
            </w:r>
            <w:r w:rsidRPr="00F25803">
              <w:rPr>
                <w:rFonts w:ascii="Arial Black" w:eastAsia="SimHei" w:hAnsi="Arial Black" w:hint="eastAsia"/>
                <w:b/>
                <w:sz w:val="15"/>
                <w:szCs w:val="15"/>
                <w:lang w:val="pt-BR"/>
              </w:rPr>
              <w:t>4</w:t>
            </w:r>
            <w:r w:rsidRPr="00F25803">
              <w:rPr>
                <w:rFonts w:ascii="SimHei" w:eastAsia="SimHei" w:hAnsi="Times New Roman" w:hint="eastAsia"/>
                <w:b/>
                <w:sz w:val="15"/>
                <w:szCs w:val="15"/>
              </w:rPr>
              <w:t>年</w:t>
            </w:r>
            <w:r w:rsidRPr="00F25803">
              <w:rPr>
                <w:rFonts w:ascii="Arial Black" w:eastAsia="SimHei" w:hAnsi="Arial Black"/>
                <w:b/>
                <w:sz w:val="15"/>
                <w:szCs w:val="15"/>
                <w:lang w:val="pt-BR"/>
              </w:rPr>
              <w:t>3</w:t>
            </w:r>
            <w:r w:rsidRPr="00F25803">
              <w:rPr>
                <w:rFonts w:ascii="SimHei" w:eastAsia="SimHei" w:hAnsi="Times New Roman" w:hint="eastAsia"/>
                <w:b/>
                <w:sz w:val="15"/>
                <w:szCs w:val="15"/>
              </w:rPr>
              <w:t>月</w:t>
            </w:r>
            <w:r>
              <w:rPr>
                <w:rFonts w:ascii="Arial Black" w:eastAsia="SimHei" w:hAnsi="Arial Black" w:hint="eastAsia"/>
                <w:b/>
                <w:sz w:val="15"/>
                <w:szCs w:val="15"/>
              </w:rPr>
              <w:t>18</w:t>
            </w:r>
            <w:r w:rsidRPr="00F25803">
              <w:rPr>
                <w:rFonts w:ascii="SimHei" w:eastAsia="SimHei" w:hAnsi="Times New Roman" w:hint="eastAsia"/>
                <w:b/>
                <w:sz w:val="15"/>
                <w:szCs w:val="15"/>
              </w:rPr>
              <w:t>日</w:t>
            </w:r>
            <w:r w:rsidRPr="00F25803">
              <w:rPr>
                <w:rFonts w:ascii="SimHei" w:eastAsia="SimHei" w:hAnsi="Arial Black" w:hint="eastAsia"/>
                <w:b/>
                <w:caps/>
                <w:sz w:val="15"/>
                <w:szCs w:val="15"/>
              </w:rPr>
              <w:t xml:space="preserve">  </w:t>
            </w:r>
            <w:bookmarkStart w:id="1" w:name="Date"/>
            <w:bookmarkEnd w:id="1"/>
          </w:p>
        </w:tc>
      </w:tr>
    </w:tbl>
    <w:p w:rsidR="00C65BE8" w:rsidRPr="00F25803" w:rsidRDefault="00C65BE8" w:rsidP="00C65BE8"/>
    <w:p w:rsidR="00C65BE8" w:rsidRPr="00F25803" w:rsidRDefault="00C65BE8" w:rsidP="00C65BE8"/>
    <w:p w:rsidR="00C65BE8" w:rsidRPr="00F25803" w:rsidRDefault="00C65BE8" w:rsidP="00C65BE8"/>
    <w:p w:rsidR="00C65BE8" w:rsidRPr="00F25803" w:rsidRDefault="00C65BE8" w:rsidP="00C65BE8"/>
    <w:p w:rsidR="00C65BE8" w:rsidRPr="00F25803" w:rsidRDefault="00C65BE8" w:rsidP="00C65BE8"/>
    <w:p w:rsidR="00C65BE8" w:rsidRPr="00F25803" w:rsidRDefault="00C65BE8" w:rsidP="00C65BE8">
      <w:pPr>
        <w:spacing w:line="360" w:lineRule="atLeast"/>
        <w:rPr>
          <w:rFonts w:ascii="SimHei" w:eastAsia="SimHei"/>
          <w:sz w:val="28"/>
          <w:szCs w:val="28"/>
        </w:rPr>
      </w:pPr>
      <w:r w:rsidRPr="00F25803">
        <w:rPr>
          <w:rFonts w:ascii="SimHei" w:eastAsia="SimHei" w:hint="eastAsia"/>
          <w:sz w:val="28"/>
          <w:szCs w:val="28"/>
        </w:rPr>
        <w:t>世界知识产权组织标准委员会(CWS)</w:t>
      </w:r>
    </w:p>
    <w:p w:rsidR="00C65BE8" w:rsidRPr="00F25803" w:rsidRDefault="00C65BE8" w:rsidP="00C65BE8">
      <w:pPr>
        <w:rPr>
          <w:szCs w:val="22"/>
        </w:rPr>
      </w:pPr>
    </w:p>
    <w:p w:rsidR="00C65BE8" w:rsidRPr="00F25803" w:rsidRDefault="00C65BE8" w:rsidP="00C65BE8">
      <w:pPr>
        <w:rPr>
          <w:sz w:val="24"/>
          <w:szCs w:val="24"/>
        </w:rPr>
      </w:pPr>
    </w:p>
    <w:p w:rsidR="00C65BE8" w:rsidRPr="00F25803" w:rsidRDefault="00C65BE8" w:rsidP="00C65BE8">
      <w:pPr>
        <w:spacing w:line="360" w:lineRule="atLeast"/>
        <w:textAlignment w:val="bottom"/>
        <w:rPr>
          <w:rFonts w:ascii="KaiTi" w:eastAsia="KaiTi"/>
          <w:b/>
          <w:sz w:val="24"/>
          <w:szCs w:val="24"/>
        </w:rPr>
      </w:pPr>
      <w:r w:rsidRPr="00F25803">
        <w:rPr>
          <w:rFonts w:ascii="KaiTi" w:eastAsia="KaiTi" w:hint="eastAsia"/>
          <w:b/>
          <w:sz w:val="24"/>
          <w:szCs w:val="24"/>
        </w:rPr>
        <w:t>第四届会议</w:t>
      </w:r>
    </w:p>
    <w:p w:rsidR="00C65BE8" w:rsidRPr="00F25803" w:rsidRDefault="00C65BE8" w:rsidP="00C65BE8">
      <w:pPr>
        <w:spacing w:line="360" w:lineRule="atLeast"/>
        <w:textAlignment w:val="bottom"/>
        <w:rPr>
          <w:rFonts w:ascii="KaiTi" w:eastAsia="KaiTi" w:hAnsi="KaiTi"/>
          <w:b/>
          <w:sz w:val="24"/>
          <w:szCs w:val="24"/>
        </w:rPr>
      </w:pPr>
      <w:r w:rsidRPr="00F25803">
        <w:rPr>
          <w:rFonts w:ascii="KaiTi" w:eastAsia="KaiTi" w:hAnsi="KaiTi" w:hint="eastAsia"/>
          <w:sz w:val="24"/>
          <w:szCs w:val="24"/>
        </w:rPr>
        <w:t>2014</w:t>
      </w:r>
      <w:r w:rsidRPr="00F25803">
        <w:rPr>
          <w:rFonts w:ascii="KaiTi" w:eastAsia="KaiTi" w:hAnsi="KaiTi" w:hint="eastAsia"/>
          <w:b/>
          <w:sz w:val="24"/>
          <w:szCs w:val="24"/>
        </w:rPr>
        <w:t>年</w:t>
      </w:r>
      <w:r w:rsidRPr="00F25803">
        <w:rPr>
          <w:rFonts w:ascii="KaiTi" w:eastAsia="KaiTi" w:hAnsi="KaiTi" w:hint="eastAsia"/>
          <w:sz w:val="24"/>
          <w:szCs w:val="24"/>
        </w:rPr>
        <w:t>5</w:t>
      </w:r>
      <w:r w:rsidRPr="00F25803">
        <w:rPr>
          <w:rFonts w:ascii="KaiTi" w:eastAsia="KaiTi" w:hAnsi="KaiTi" w:hint="eastAsia"/>
          <w:b/>
          <w:sz w:val="24"/>
          <w:szCs w:val="24"/>
        </w:rPr>
        <w:t>月</w:t>
      </w:r>
      <w:r w:rsidRPr="00F25803">
        <w:rPr>
          <w:rFonts w:ascii="KaiTi" w:eastAsia="KaiTi" w:hAnsi="KaiTi" w:hint="eastAsia"/>
          <w:sz w:val="24"/>
          <w:szCs w:val="24"/>
        </w:rPr>
        <w:t>12</w:t>
      </w:r>
      <w:r w:rsidRPr="00F25803">
        <w:rPr>
          <w:rFonts w:ascii="KaiTi" w:eastAsia="KaiTi" w:hAnsi="KaiTi" w:hint="eastAsia"/>
          <w:b/>
          <w:sz w:val="24"/>
          <w:szCs w:val="24"/>
        </w:rPr>
        <w:t>日至</w:t>
      </w:r>
      <w:r w:rsidRPr="00F25803">
        <w:rPr>
          <w:rFonts w:ascii="KaiTi" w:eastAsia="KaiTi" w:hAnsi="KaiTi" w:hint="eastAsia"/>
          <w:sz w:val="24"/>
          <w:szCs w:val="24"/>
        </w:rPr>
        <w:t>16</w:t>
      </w:r>
      <w:r w:rsidRPr="00F25803">
        <w:rPr>
          <w:rFonts w:ascii="KaiTi" w:eastAsia="KaiTi" w:hAnsi="KaiTi" w:hint="eastAsia"/>
          <w:b/>
          <w:sz w:val="24"/>
          <w:szCs w:val="24"/>
        </w:rPr>
        <w:t>日，日内瓦</w:t>
      </w:r>
    </w:p>
    <w:p w:rsidR="00C65BE8" w:rsidRPr="00F25803" w:rsidRDefault="00C65BE8" w:rsidP="00C65BE8"/>
    <w:p w:rsidR="00C65BE8" w:rsidRPr="00F25803" w:rsidRDefault="00C65BE8" w:rsidP="00C65BE8"/>
    <w:p w:rsidR="00C65BE8" w:rsidRPr="00F25803" w:rsidRDefault="00C65BE8" w:rsidP="00C65BE8"/>
    <w:p w:rsidR="00C65BE8" w:rsidRPr="00F25803" w:rsidRDefault="00C65BE8" w:rsidP="00C65BE8">
      <w:pPr>
        <w:rPr>
          <w:rFonts w:ascii="KaiTi" w:eastAsia="KaiTi" w:hAnsi="KaiTi" w:cs="Times New Roman"/>
          <w:kern w:val="2"/>
          <w:sz w:val="24"/>
          <w:szCs w:val="32"/>
        </w:rPr>
      </w:pPr>
      <w:r w:rsidRPr="00C65BE8">
        <w:rPr>
          <w:rFonts w:ascii="KaiTi" w:eastAsia="KaiTi" w:hAnsi="KaiTi" w:cs="Times New Roman" w:hint="eastAsia"/>
          <w:kern w:val="2"/>
          <w:sz w:val="24"/>
          <w:szCs w:val="32"/>
        </w:rPr>
        <w:t>关于根据标准委员会任务规定向工业产权局</w:t>
      </w:r>
      <w:r>
        <w:rPr>
          <w:rFonts w:ascii="KaiTi" w:eastAsia="KaiTi" w:hAnsi="KaiTi" w:cs="Times New Roman"/>
          <w:kern w:val="2"/>
          <w:sz w:val="24"/>
          <w:szCs w:val="32"/>
        </w:rPr>
        <w:br/>
      </w:r>
      <w:r w:rsidRPr="00C65BE8">
        <w:rPr>
          <w:rFonts w:ascii="KaiTi" w:eastAsia="KaiTi" w:hAnsi="KaiTi" w:cs="Times New Roman" w:hint="eastAsia"/>
          <w:kern w:val="2"/>
          <w:sz w:val="24"/>
          <w:szCs w:val="32"/>
        </w:rPr>
        <w:t>提供技术咨询和援助开展能力建设的报告</w:t>
      </w:r>
    </w:p>
    <w:p w:rsidR="00C65BE8" w:rsidRPr="00F25803" w:rsidRDefault="00C65BE8" w:rsidP="00C65BE8">
      <w:pPr>
        <w:rPr>
          <w:rFonts w:ascii="SimSun" w:hAnsi="SimSun"/>
          <w:szCs w:val="22"/>
        </w:rPr>
      </w:pPr>
    </w:p>
    <w:p w:rsidR="00C65BE8" w:rsidRPr="00F25803" w:rsidRDefault="00C65BE8" w:rsidP="00C65BE8">
      <w:pPr>
        <w:rPr>
          <w:rFonts w:ascii="KaiTi" w:eastAsia="KaiTi" w:hAnsi="STKaiti" w:cs="Times New Roman"/>
          <w:i/>
          <w:kern w:val="2"/>
          <w:sz w:val="21"/>
          <w:szCs w:val="24"/>
        </w:rPr>
      </w:pPr>
      <w:r w:rsidRPr="00F25803">
        <w:rPr>
          <w:rFonts w:ascii="KaiTi" w:eastAsia="KaiTi" w:hAnsi="STKaiti" w:cs="Times New Roman" w:hint="eastAsia"/>
          <w:i/>
          <w:kern w:val="2"/>
          <w:sz w:val="21"/>
          <w:szCs w:val="24"/>
        </w:rPr>
        <w:t>秘书处编拟的文件</w:t>
      </w:r>
    </w:p>
    <w:p w:rsidR="00C65BE8" w:rsidRPr="00F25803" w:rsidRDefault="00C65BE8" w:rsidP="00C65BE8">
      <w:pPr>
        <w:rPr>
          <w:rFonts w:ascii="KaiTi" w:hAnsi="SimSun"/>
          <w:szCs w:val="22"/>
        </w:rPr>
      </w:pPr>
    </w:p>
    <w:p w:rsidR="00C65BE8" w:rsidRPr="00F25803" w:rsidRDefault="00C65BE8" w:rsidP="00C65BE8">
      <w:pPr>
        <w:rPr>
          <w:rFonts w:ascii="KaiTi" w:hAnsi="SimSun"/>
          <w:szCs w:val="22"/>
        </w:rPr>
      </w:pPr>
    </w:p>
    <w:p w:rsidR="00C65BE8" w:rsidRPr="00F25803" w:rsidRDefault="00C65BE8" w:rsidP="00C65BE8">
      <w:pPr>
        <w:rPr>
          <w:rFonts w:ascii="KaiTi" w:hAnsi="SimSun"/>
          <w:szCs w:val="22"/>
        </w:rPr>
      </w:pPr>
    </w:p>
    <w:p w:rsidR="00C65BE8" w:rsidRPr="00F25803" w:rsidRDefault="00C65BE8" w:rsidP="00C65BE8">
      <w:pPr>
        <w:rPr>
          <w:rFonts w:ascii="KaiTi" w:hAnsi="SimSun"/>
          <w:szCs w:val="22"/>
        </w:rPr>
      </w:pPr>
    </w:p>
    <w:p w:rsidR="00EF7B0A" w:rsidRPr="00C65BE8" w:rsidRDefault="00246AA3" w:rsidP="00C65BE8">
      <w:pPr>
        <w:pStyle w:val="ONUME"/>
        <w:spacing w:afterLines="50" w:after="120" w:line="340" w:lineRule="atLeast"/>
        <w:jc w:val="both"/>
        <w:rPr>
          <w:rFonts w:ascii="SimSun" w:hAnsi="SimSun"/>
          <w:sz w:val="21"/>
        </w:rPr>
      </w:pPr>
      <w:r w:rsidRPr="00C65BE8">
        <w:rPr>
          <w:rFonts w:ascii="SimSun" w:hAnsi="SimSun" w:hint="eastAsia"/>
          <w:sz w:val="21"/>
        </w:rPr>
        <w:t>本报告旨在落实2011年成员国大会作出的关于标准委员会任务授权的决定，并提供有关2013年期间所开展各项活动详细内容的定期书面报告，该决定指出WIPO秘书处或国际局(IB)“努力通过执行知识产权标准方面的信息推广项目，提供技术咨询和援助，为各知识产权局开展能力建设工作”(参见文件WO/GA/40/19第190段)。这些活动的完整列表可查阅技术援助数据库(</w:t>
      </w:r>
      <w:hyperlink r:id="rId9" w:history="1">
        <w:r w:rsidRPr="00C65BE8">
          <w:rPr>
            <w:rStyle w:val="Hyperlink"/>
            <w:rFonts w:ascii="SimSun" w:hAnsi="SimSun"/>
            <w:sz w:val="21"/>
          </w:rPr>
          <w:t>www.wipo.</w:t>
        </w:r>
        <w:r w:rsidRPr="00C65BE8">
          <w:rPr>
            <w:rStyle w:val="Hyperlink"/>
            <w:rFonts w:ascii="SimSun" w:hAnsi="SimSun"/>
            <w:sz w:val="21"/>
          </w:rPr>
          <w:t>i</w:t>
        </w:r>
        <w:bookmarkStart w:id="2" w:name="_GoBack"/>
        <w:bookmarkEnd w:id="2"/>
        <w:r w:rsidRPr="00C65BE8">
          <w:rPr>
            <w:rStyle w:val="Hyperlink"/>
            <w:rFonts w:ascii="SimSun" w:hAnsi="SimSun"/>
            <w:sz w:val="21"/>
          </w:rPr>
          <w:t>nt/tad</w:t>
        </w:r>
      </w:hyperlink>
      <w:proofErr w:type="gramStart"/>
      <w:r w:rsidRPr="00C65BE8">
        <w:rPr>
          <w:rFonts w:ascii="SimSun" w:hAnsi="SimSun" w:hint="eastAsia"/>
          <w:sz w:val="21"/>
        </w:rPr>
        <w:t>)。</w:t>
      </w:r>
      <w:proofErr w:type="gramEnd"/>
    </w:p>
    <w:p w:rsidR="00EF7B0A" w:rsidRPr="00C65BE8" w:rsidRDefault="00246AA3" w:rsidP="00C65BE8">
      <w:pPr>
        <w:pStyle w:val="ONUME"/>
        <w:spacing w:afterLines="50" w:after="120" w:line="340" w:lineRule="atLeast"/>
        <w:jc w:val="both"/>
        <w:rPr>
          <w:rFonts w:ascii="SimSun" w:hAnsi="SimSun"/>
          <w:sz w:val="21"/>
          <w:szCs w:val="21"/>
        </w:rPr>
      </w:pPr>
      <w:r w:rsidRPr="00C65BE8">
        <w:rPr>
          <w:rFonts w:ascii="SimSun" w:hAnsi="SimSun" w:hint="eastAsia"/>
          <w:sz w:val="21"/>
          <w:szCs w:val="21"/>
        </w:rPr>
        <w:t>因为知识产权标准在许多制度和</w:t>
      </w:r>
      <w:r w:rsidRPr="00C65BE8">
        <w:rPr>
          <w:rFonts w:ascii="SimSun" w:hAnsi="SimSun" w:cs="Times New Roman" w:hint="eastAsia"/>
          <w:kern w:val="2"/>
          <w:sz w:val="21"/>
          <w:szCs w:val="21"/>
        </w:rPr>
        <w:t>工具</w:t>
      </w:r>
      <w:r w:rsidRPr="00C65BE8">
        <w:rPr>
          <w:rFonts w:ascii="SimSun" w:hAnsi="SimSun" w:hint="eastAsia"/>
          <w:sz w:val="21"/>
          <w:szCs w:val="21"/>
        </w:rPr>
        <w:t>中施行，所以下列活动也潜在包含了相关知识产权标准信息的传播。</w:t>
      </w:r>
    </w:p>
    <w:p w:rsidR="00EF7B0A" w:rsidRPr="00C65BE8" w:rsidRDefault="002A5616" w:rsidP="00C65BE8">
      <w:pPr>
        <w:pStyle w:val="Heading2"/>
        <w:spacing w:beforeLines="100" w:afterLines="50" w:after="120" w:line="340" w:lineRule="atLeast"/>
        <w:rPr>
          <w:rFonts w:ascii="SimHei" w:eastAsia="SimHei" w:hAnsi="SimHei"/>
          <w:sz w:val="21"/>
        </w:rPr>
      </w:pPr>
      <w:r w:rsidRPr="00C65BE8">
        <w:rPr>
          <w:rFonts w:ascii="SimHei" w:eastAsia="SimHei" w:hAnsi="SimHei" w:hint="eastAsia"/>
          <w:caps w:val="0"/>
          <w:sz w:val="21"/>
        </w:rPr>
        <w:t>使用WIPO标准的培训</w:t>
      </w:r>
    </w:p>
    <w:p w:rsidR="00EF7B0A" w:rsidRPr="00C65BE8" w:rsidRDefault="002A5616" w:rsidP="00C65BE8">
      <w:pPr>
        <w:pStyle w:val="ONUME"/>
        <w:spacing w:afterLines="50" w:after="120" w:line="340" w:lineRule="atLeast"/>
        <w:jc w:val="both"/>
        <w:rPr>
          <w:rFonts w:ascii="SimSun" w:hAnsi="SimSun"/>
          <w:sz w:val="21"/>
        </w:rPr>
      </w:pPr>
      <w:r w:rsidRPr="00C65BE8">
        <w:rPr>
          <w:rFonts w:ascii="SimSun" w:hAnsi="SimSun" w:hint="eastAsia"/>
          <w:sz w:val="21"/>
        </w:rPr>
        <w:t>应新加坡知识产权局的请求，国际局在新加坡知识产权学院2013年10月组织的“促进知识产权信息使用”的</w:t>
      </w:r>
      <w:r w:rsidRPr="00C65BE8">
        <w:rPr>
          <w:rFonts w:ascii="SimSun" w:hAnsi="SimSun" w:cs="Times New Roman" w:hint="eastAsia"/>
          <w:kern w:val="2"/>
          <w:sz w:val="21"/>
          <w:szCs w:val="32"/>
        </w:rPr>
        <w:t>研讨会</w:t>
      </w:r>
      <w:r w:rsidRPr="00C65BE8">
        <w:rPr>
          <w:rFonts w:ascii="SimSun" w:hAnsi="SimSun" w:hint="eastAsia"/>
          <w:sz w:val="21"/>
        </w:rPr>
        <w:t>上，做了有关WIPO标准</w:t>
      </w:r>
      <w:r w:rsidR="008A70F6" w:rsidRPr="00C65BE8">
        <w:rPr>
          <w:rFonts w:ascii="SimSun" w:hAnsi="SimSun" w:hint="eastAsia"/>
          <w:sz w:val="21"/>
        </w:rPr>
        <w:t>的演示，尤其演示了</w:t>
      </w:r>
      <w:r w:rsidRPr="00C65BE8">
        <w:rPr>
          <w:rFonts w:ascii="SimSun" w:hAnsi="SimSun" w:hint="eastAsia"/>
          <w:sz w:val="21"/>
        </w:rPr>
        <w:t>与</w:t>
      </w:r>
      <w:r w:rsidR="0025023A" w:rsidRPr="00C65BE8">
        <w:rPr>
          <w:rFonts w:ascii="SimSun" w:hAnsi="SimSun" w:hint="eastAsia"/>
          <w:sz w:val="21"/>
        </w:rPr>
        <w:t>官方</w:t>
      </w:r>
      <w:r w:rsidRPr="00C65BE8">
        <w:rPr>
          <w:rFonts w:ascii="SimSun" w:hAnsi="SimSun" w:hint="eastAsia"/>
          <w:sz w:val="21"/>
        </w:rPr>
        <w:t>公报</w:t>
      </w:r>
      <w:r w:rsidR="008A70F6" w:rsidRPr="00C65BE8">
        <w:rPr>
          <w:rFonts w:ascii="SimSun" w:hAnsi="SimSun" w:hint="eastAsia"/>
          <w:sz w:val="21"/>
        </w:rPr>
        <w:t>相关的WIPO标准。下列国家参加了研讨会：柬埔寨、老挝、缅甸、菲律宾和越南。这次培训是向与会者介绍WIPO标准并进一步使他们获得使用指导以及加强WIPO标准委员会工作的大好机会。</w:t>
      </w:r>
      <w:r w:rsidR="009C12E4" w:rsidRPr="00C65BE8">
        <w:rPr>
          <w:rFonts w:ascii="SimSun" w:hAnsi="SimSun" w:hint="eastAsia"/>
          <w:sz w:val="21"/>
        </w:rPr>
        <w:t>经证明，</w:t>
      </w:r>
      <w:r w:rsidR="008A70F6" w:rsidRPr="00C65BE8">
        <w:rPr>
          <w:rFonts w:ascii="SimSun" w:hAnsi="SimSun" w:hint="eastAsia"/>
          <w:sz w:val="21"/>
        </w:rPr>
        <w:t>通过培训增进对WIPO标准的认识和使用，</w:t>
      </w:r>
      <w:r w:rsidR="009C12E4" w:rsidRPr="00C65BE8">
        <w:rPr>
          <w:rFonts w:ascii="SimSun" w:hAnsi="SimSun" w:hint="eastAsia"/>
          <w:sz w:val="21"/>
        </w:rPr>
        <w:t>对于</w:t>
      </w:r>
      <w:r w:rsidR="008A70F6" w:rsidRPr="00C65BE8">
        <w:rPr>
          <w:rFonts w:ascii="SimSun" w:hAnsi="SimSun" w:hint="eastAsia"/>
          <w:sz w:val="21"/>
        </w:rPr>
        <w:t>促进发展中国家知识产权局人力资源和机构能力发展</w:t>
      </w:r>
      <w:r w:rsidR="0025023A" w:rsidRPr="00C65BE8">
        <w:rPr>
          <w:rFonts w:ascii="SimSun" w:hAnsi="SimSun" w:hint="eastAsia"/>
          <w:sz w:val="21"/>
        </w:rPr>
        <w:t>、</w:t>
      </w:r>
      <w:r w:rsidR="009C12E4" w:rsidRPr="00C65BE8">
        <w:rPr>
          <w:rFonts w:ascii="SimSun" w:hAnsi="SimSun" w:hint="eastAsia"/>
          <w:sz w:val="21"/>
        </w:rPr>
        <w:t>使官员敏感于使用WIPO标准的优势</w:t>
      </w:r>
      <w:r w:rsidR="0025023A" w:rsidRPr="00C65BE8">
        <w:rPr>
          <w:rFonts w:ascii="SimSun" w:hAnsi="SimSun" w:hint="eastAsia"/>
          <w:sz w:val="21"/>
        </w:rPr>
        <w:t>以及</w:t>
      </w:r>
      <w:r w:rsidR="009C12E4" w:rsidRPr="00C65BE8">
        <w:rPr>
          <w:rFonts w:ascii="SimSun" w:hAnsi="SimSun" w:hint="eastAsia"/>
          <w:sz w:val="21"/>
        </w:rPr>
        <w:t>改进专利、商标和工业品外观设计信息的发布和使用，都是一种</w:t>
      </w:r>
      <w:r w:rsidR="008A70F6" w:rsidRPr="00C65BE8">
        <w:rPr>
          <w:rFonts w:ascii="SimSun" w:hAnsi="SimSun" w:hint="eastAsia"/>
          <w:sz w:val="21"/>
        </w:rPr>
        <w:t>必要手段</w:t>
      </w:r>
      <w:r w:rsidR="009C12E4" w:rsidRPr="00C65BE8">
        <w:rPr>
          <w:rFonts w:ascii="SimSun" w:hAnsi="SimSun" w:hint="eastAsia"/>
          <w:sz w:val="21"/>
        </w:rPr>
        <w:t>。</w:t>
      </w:r>
    </w:p>
    <w:p w:rsidR="00EF7B0A" w:rsidRPr="00C65BE8" w:rsidRDefault="009C12E4" w:rsidP="00C65BE8">
      <w:pPr>
        <w:pStyle w:val="ONUME"/>
        <w:spacing w:afterLines="50" w:after="120" w:line="340" w:lineRule="atLeast"/>
        <w:jc w:val="both"/>
        <w:rPr>
          <w:rFonts w:ascii="SimSun" w:hAnsi="SimSun"/>
          <w:sz w:val="21"/>
        </w:rPr>
      </w:pPr>
      <w:r w:rsidRPr="00C65BE8">
        <w:rPr>
          <w:rFonts w:ascii="SimSun" w:hAnsi="SimSun" w:hint="eastAsia"/>
          <w:sz w:val="21"/>
        </w:rPr>
        <w:t>诸如</w:t>
      </w:r>
      <w:r w:rsidR="0025023A" w:rsidRPr="00C65BE8">
        <w:rPr>
          <w:rFonts w:ascii="SimSun" w:hAnsi="SimSun" w:hint="eastAsia"/>
          <w:sz w:val="21"/>
        </w:rPr>
        <w:t>上</w:t>
      </w:r>
      <w:r w:rsidRPr="00C65BE8">
        <w:rPr>
          <w:rFonts w:ascii="SimSun" w:hAnsi="SimSun" w:hint="eastAsia"/>
          <w:sz w:val="21"/>
        </w:rPr>
        <w:t>一段所提及的研讨会，也为各工业产权局官员就WIPO标准及其实施交流信息和意见提供了机会。这些讨论</w:t>
      </w:r>
      <w:r w:rsidR="00856C53" w:rsidRPr="00C65BE8">
        <w:rPr>
          <w:rFonts w:ascii="SimSun" w:hAnsi="SimSun" w:hint="eastAsia"/>
          <w:sz w:val="21"/>
        </w:rPr>
        <w:t>非常有利于</w:t>
      </w:r>
      <w:r w:rsidRPr="00C65BE8">
        <w:rPr>
          <w:rFonts w:ascii="SimSun" w:hAnsi="SimSun" w:hint="eastAsia"/>
          <w:sz w:val="21"/>
          <w:szCs w:val="21"/>
        </w:rPr>
        <w:t>重点</w:t>
      </w:r>
      <w:r w:rsidRPr="00C65BE8">
        <w:rPr>
          <w:rFonts w:ascii="SimSun" w:hAnsi="SimSun" w:hint="eastAsia"/>
          <w:sz w:val="21"/>
        </w:rPr>
        <w:t>关注特定发展中国家工业产权局特别感兴趣的事项</w:t>
      </w:r>
      <w:r w:rsidR="00856C53" w:rsidRPr="00C65BE8">
        <w:rPr>
          <w:rFonts w:ascii="SimSun" w:hAnsi="SimSun" w:hint="eastAsia"/>
          <w:sz w:val="21"/>
        </w:rPr>
        <w:t>，并</w:t>
      </w:r>
      <w:r w:rsidRPr="00C65BE8">
        <w:rPr>
          <w:rFonts w:ascii="SimSun" w:hAnsi="SimSun" w:hint="eastAsia"/>
          <w:sz w:val="21"/>
        </w:rPr>
        <w:t>在中期</w:t>
      </w:r>
      <w:r w:rsidR="00856C53" w:rsidRPr="00C65BE8">
        <w:rPr>
          <w:rFonts w:ascii="SimSun" w:hAnsi="SimSun" w:hint="eastAsia"/>
          <w:sz w:val="21"/>
        </w:rPr>
        <w:t>增进全世界范围内对WIPO标准的认识、理解和使用。</w:t>
      </w:r>
    </w:p>
    <w:p w:rsidR="00EF7B0A" w:rsidRPr="00C65BE8" w:rsidRDefault="00856C53" w:rsidP="00C65BE8">
      <w:pPr>
        <w:pStyle w:val="Heading2"/>
        <w:spacing w:beforeLines="100" w:afterLines="50" w:after="120" w:line="340" w:lineRule="atLeast"/>
        <w:rPr>
          <w:rFonts w:ascii="SimHei" w:eastAsia="SimHei" w:hAnsi="SimHei"/>
          <w:caps w:val="0"/>
          <w:sz w:val="21"/>
        </w:rPr>
      </w:pPr>
      <w:r w:rsidRPr="00C65BE8">
        <w:rPr>
          <w:rFonts w:ascii="SimHei" w:eastAsia="SimHei" w:hAnsi="SimHei" w:hint="eastAsia"/>
          <w:caps w:val="0"/>
          <w:sz w:val="21"/>
        </w:rPr>
        <w:lastRenderedPageBreak/>
        <w:t>为知识产权机构建设基础设施提供技术援助</w:t>
      </w:r>
    </w:p>
    <w:p w:rsidR="00EF7B0A" w:rsidRPr="00C65BE8" w:rsidRDefault="00856C53" w:rsidP="00C65BE8">
      <w:pPr>
        <w:pStyle w:val="ONUME"/>
        <w:spacing w:afterLines="50" w:after="120" w:line="340" w:lineRule="atLeast"/>
        <w:jc w:val="both"/>
        <w:rPr>
          <w:rFonts w:ascii="SimSun" w:hAnsi="SimSun"/>
          <w:sz w:val="21"/>
          <w:lang w:val="en" w:eastAsia="ja-JP"/>
        </w:rPr>
      </w:pPr>
      <w:r w:rsidRPr="00C65BE8">
        <w:rPr>
          <w:rFonts w:ascii="SimSun" w:hAnsi="SimSun" w:hint="eastAsia"/>
          <w:sz w:val="21"/>
          <w:lang w:val="en"/>
        </w:rPr>
        <w:t>本计划(计划15)旨在增强国家和地区知识产权局的知识产权业务体系和技术基础设施</w:t>
      </w:r>
      <w:r w:rsidR="00BD7615" w:rsidRPr="00C65BE8">
        <w:rPr>
          <w:rFonts w:ascii="SimSun" w:hAnsi="SimSun" w:hint="eastAsia"/>
          <w:sz w:val="21"/>
          <w:lang w:val="en"/>
        </w:rPr>
        <w:t>，以便帮助他们向</w:t>
      </w:r>
      <w:r w:rsidR="008822DF" w:rsidRPr="00C65BE8">
        <w:rPr>
          <w:rFonts w:ascii="SimSun" w:hAnsi="SimSun" w:hint="eastAsia"/>
          <w:sz w:val="21"/>
          <w:lang w:val="en"/>
        </w:rPr>
        <w:t>各自</w:t>
      </w:r>
      <w:r w:rsidR="00BD7615" w:rsidRPr="00C65BE8">
        <w:rPr>
          <w:rFonts w:ascii="SimSun" w:hAnsi="SimSun" w:hint="eastAsia"/>
          <w:sz w:val="21"/>
          <w:lang w:val="en"/>
        </w:rPr>
        <w:t>的利益有关方提供更具成本效益且更优质的服务。所提供的援助</w:t>
      </w:r>
      <w:r w:rsidR="008822DF" w:rsidRPr="00C65BE8">
        <w:rPr>
          <w:rFonts w:ascii="SimSun" w:hAnsi="SimSun" w:hint="eastAsia"/>
          <w:sz w:val="21"/>
          <w:lang w:val="en"/>
        </w:rPr>
        <w:t>符合</w:t>
      </w:r>
      <w:r w:rsidR="00BD7615" w:rsidRPr="00C65BE8">
        <w:rPr>
          <w:rFonts w:ascii="SimSun" w:hAnsi="SimSun" w:hint="eastAsia"/>
          <w:sz w:val="21"/>
          <w:lang w:val="en"/>
        </w:rPr>
        <w:t>旨在加强知识产权局和机构的</w:t>
      </w:r>
      <w:r w:rsidR="00244419" w:rsidRPr="00C65BE8">
        <w:rPr>
          <w:rFonts w:ascii="SimSun" w:hAnsi="SimSun" w:hint="eastAsia"/>
          <w:sz w:val="21"/>
          <w:lang w:val="en"/>
        </w:rPr>
        <w:t>机构</w:t>
      </w:r>
      <w:r w:rsidR="00BD7615" w:rsidRPr="00C65BE8">
        <w:rPr>
          <w:rFonts w:ascii="SimSun" w:hAnsi="SimSun" w:hint="eastAsia"/>
          <w:sz w:val="21"/>
          <w:lang w:val="en"/>
        </w:rPr>
        <w:t>和技术基础设施的发展议程建议。计划的服务包括</w:t>
      </w:r>
      <w:r w:rsidR="00244419" w:rsidRPr="00C65BE8">
        <w:rPr>
          <w:rFonts w:ascii="SimSun" w:hAnsi="SimSun" w:hint="eastAsia"/>
          <w:sz w:val="21"/>
          <w:szCs w:val="22"/>
          <w:lang w:val="en"/>
        </w:rPr>
        <w:t>技术咨询；业务需求评估；项目范围确定和规划；业务程序分析；不断开发和部署针对知识产权管理和优先权文件及检索审查结果交换的定制业务系统解决方案；知识产权数据库的建立；援助实现知识产权记录的数字化和编制用于在线出版和电子数据交换的数据；</w:t>
      </w:r>
      <w:r w:rsidR="008822DF" w:rsidRPr="00C65BE8">
        <w:rPr>
          <w:rFonts w:ascii="SimSun" w:hAnsi="SimSun" w:hint="eastAsia"/>
          <w:sz w:val="21"/>
          <w:szCs w:val="22"/>
          <w:lang w:val="en"/>
        </w:rPr>
        <w:t>面向知识产权机构工作人员的</w:t>
      </w:r>
      <w:r w:rsidR="00244419" w:rsidRPr="00C65BE8">
        <w:rPr>
          <w:rFonts w:ascii="SimSun" w:hAnsi="SimSun" w:hint="eastAsia"/>
          <w:sz w:val="21"/>
          <w:szCs w:val="22"/>
          <w:lang w:val="en"/>
        </w:rPr>
        <w:t>培训和知识转让；</w:t>
      </w:r>
      <w:r w:rsidR="008822DF" w:rsidRPr="00C65BE8">
        <w:rPr>
          <w:rFonts w:ascii="SimSun" w:hAnsi="SimSun" w:hint="eastAsia"/>
          <w:sz w:val="21"/>
          <w:szCs w:val="22"/>
          <w:lang w:val="en"/>
        </w:rPr>
        <w:t>以及WIPO提供的</w:t>
      </w:r>
      <w:r w:rsidR="00244419" w:rsidRPr="00C65BE8">
        <w:rPr>
          <w:rFonts w:ascii="SimSun" w:hAnsi="SimSun" w:hint="eastAsia"/>
          <w:sz w:val="21"/>
          <w:szCs w:val="22"/>
          <w:lang w:val="en"/>
        </w:rPr>
        <w:t>系统支持</w:t>
      </w:r>
      <w:r w:rsidR="008822DF" w:rsidRPr="00C65BE8">
        <w:rPr>
          <w:rFonts w:ascii="SimSun" w:hAnsi="SimSun" w:hint="eastAsia"/>
          <w:sz w:val="21"/>
          <w:szCs w:val="22"/>
          <w:lang w:val="en"/>
        </w:rPr>
        <w:t>。</w:t>
      </w:r>
    </w:p>
    <w:p w:rsidR="00EF7B0A" w:rsidRPr="00C65BE8" w:rsidRDefault="008822DF" w:rsidP="00C65BE8">
      <w:pPr>
        <w:pStyle w:val="ONUME"/>
        <w:spacing w:afterLines="50" w:after="120" w:line="340" w:lineRule="atLeast"/>
        <w:jc w:val="both"/>
        <w:rPr>
          <w:rFonts w:ascii="SimSun" w:hAnsi="SimSun"/>
          <w:sz w:val="21"/>
          <w:szCs w:val="22"/>
          <w:lang w:val="en" w:eastAsia="ja-JP"/>
        </w:rPr>
      </w:pPr>
      <w:r w:rsidRPr="00C65BE8">
        <w:rPr>
          <w:rFonts w:ascii="SimSun" w:hAnsi="SimSun" w:hint="eastAsia"/>
          <w:sz w:val="21"/>
          <w:szCs w:val="22"/>
          <w:lang w:val="en"/>
        </w:rPr>
        <w:t>在本计划的框架内，2013年对各</w:t>
      </w:r>
      <w:r w:rsidRPr="00C65BE8">
        <w:rPr>
          <w:rFonts w:ascii="SimSun" w:hAnsi="SimSun" w:hint="eastAsia"/>
          <w:sz w:val="21"/>
          <w:szCs w:val="21"/>
        </w:rPr>
        <w:t>知识产权</w:t>
      </w:r>
      <w:r w:rsidRPr="00C65BE8">
        <w:rPr>
          <w:rFonts w:ascii="SimSun" w:hAnsi="SimSun" w:hint="eastAsia"/>
          <w:sz w:val="21"/>
          <w:szCs w:val="22"/>
          <w:lang w:val="en"/>
        </w:rPr>
        <w:t>局进行了超过100次</w:t>
      </w:r>
      <w:r w:rsidR="00870E01" w:rsidRPr="00C65BE8">
        <w:rPr>
          <w:rFonts w:ascii="SimSun" w:hAnsi="SimSun" w:hint="eastAsia"/>
          <w:sz w:val="21"/>
          <w:szCs w:val="22"/>
          <w:lang w:val="en"/>
        </w:rPr>
        <w:t>差</w:t>
      </w:r>
      <w:r w:rsidR="00EE1265" w:rsidRPr="00C65BE8">
        <w:rPr>
          <w:rFonts w:ascii="SimSun" w:hAnsi="SimSun" w:hint="eastAsia"/>
          <w:sz w:val="21"/>
          <w:szCs w:val="22"/>
          <w:lang w:val="en"/>
        </w:rPr>
        <w:t>访</w:t>
      </w:r>
      <w:r w:rsidRPr="00C65BE8">
        <w:rPr>
          <w:rFonts w:ascii="SimSun" w:hAnsi="SimSun" w:hint="eastAsia"/>
          <w:sz w:val="21"/>
          <w:szCs w:val="22"/>
          <w:lang w:val="en"/>
        </w:rPr>
        <w:t>。所有地区共计51个知识产权局开展了活动。</w:t>
      </w:r>
      <w:r w:rsidR="00EE1265" w:rsidRPr="00C65BE8">
        <w:rPr>
          <w:rFonts w:ascii="SimSun" w:hAnsi="SimSun" w:hint="eastAsia"/>
          <w:sz w:val="21"/>
          <w:szCs w:val="22"/>
          <w:lang w:val="en"/>
        </w:rPr>
        <w:t>对一些</w:t>
      </w:r>
      <w:r w:rsidRPr="00C65BE8">
        <w:rPr>
          <w:rFonts w:ascii="SimSun" w:hAnsi="SimSun" w:hint="eastAsia"/>
          <w:sz w:val="21"/>
          <w:szCs w:val="22"/>
          <w:lang w:val="en"/>
        </w:rPr>
        <w:t>局</w:t>
      </w:r>
      <w:r w:rsidR="00EE1265" w:rsidRPr="00C65BE8">
        <w:rPr>
          <w:rFonts w:ascii="SimSun" w:hAnsi="SimSun" w:hint="eastAsia"/>
          <w:sz w:val="21"/>
          <w:szCs w:val="22"/>
          <w:lang w:val="en"/>
        </w:rPr>
        <w:t>的</w:t>
      </w:r>
      <w:r w:rsidR="00870E01" w:rsidRPr="00C65BE8">
        <w:rPr>
          <w:rFonts w:ascii="SimSun" w:hAnsi="SimSun" w:hint="eastAsia"/>
          <w:sz w:val="21"/>
          <w:szCs w:val="22"/>
          <w:lang w:val="en"/>
        </w:rPr>
        <w:t>差</w:t>
      </w:r>
      <w:r w:rsidR="00EE1265" w:rsidRPr="00C65BE8">
        <w:rPr>
          <w:rFonts w:ascii="SimSun" w:hAnsi="SimSun" w:hint="eastAsia"/>
          <w:sz w:val="21"/>
          <w:szCs w:val="22"/>
          <w:lang w:val="en"/>
        </w:rPr>
        <w:t>访次数超过</w:t>
      </w:r>
      <w:r w:rsidRPr="00C65BE8">
        <w:rPr>
          <w:rFonts w:ascii="SimSun" w:hAnsi="SimSun" w:hint="eastAsia"/>
          <w:sz w:val="21"/>
          <w:szCs w:val="22"/>
          <w:lang w:val="en"/>
        </w:rPr>
        <w:t>一次。到2013年年底，全世界有超过65个知识产权局积极使用WIPO业务解决方案用于各自的知识产权管理。欲知更多信息，请查询WIPO的知识产权局技术援助</w:t>
      </w:r>
      <w:r w:rsidR="00BA5EF1" w:rsidRPr="00C65BE8">
        <w:rPr>
          <w:rFonts w:ascii="SimSun" w:hAnsi="SimSun" w:hint="eastAsia"/>
          <w:sz w:val="21"/>
          <w:szCs w:val="22"/>
          <w:lang w:val="en"/>
        </w:rPr>
        <w:t>项目</w:t>
      </w:r>
      <w:r w:rsidRPr="00C65BE8">
        <w:rPr>
          <w:rFonts w:ascii="SimSun" w:hAnsi="SimSun" w:hint="eastAsia"/>
          <w:sz w:val="21"/>
          <w:szCs w:val="22"/>
          <w:lang w:val="en"/>
        </w:rPr>
        <w:t>网站</w:t>
      </w:r>
      <w:hyperlink r:id="rId10" w:history="1">
        <w:r w:rsidRPr="00C65BE8">
          <w:rPr>
            <w:rFonts w:ascii="SimSun" w:hAnsi="SimSun"/>
            <w:color w:val="0000FF"/>
            <w:sz w:val="21"/>
            <w:szCs w:val="22"/>
            <w:u w:val="single"/>
            <w:lang w:val="en" w:eastAsia="ja-JP"/>
          </w:rPr>
          <w:t>http://www.wipo.int/global_ip/en/activities/technicalas</w:t>
        </w:r>
        <w:r w:rsidRPr="00C65BE8">
          <w:rPr>
            <w:rFonts w:ascii="SimSun" w:hAnsi="SimSun"/>
            <w:color w:val="0000FF"/>
            <w:sz w:val="21"/>
            <w:szCs w:val="22"/>
            <w:u w:val="single"/>
            <w:lang w:val="en" w:eastAsia="ja-JP"/>
          </w:rPr>
          <w:t>s</w:t>
        </w:r>
        <w:r w:rsidRPr="00C65BE8">
          <w:rPr>
            <w:rFonts w:ascii="SimSun" w:hAnsi="SimSun"/>
            <w:color w:val="0000FF"/>
            <w:sz w:val="21"/>
            <w:szCs w:val="22"/>
            <w:u w:val="single"/>
            <w:lang w:val="en" w:eastAsia="ja-JP"/>
          </w:rPr>
          <w:t>istance/</w:t>
        </w:r>
      </w:hyperlink>
      <w:r w:rsidRPr="00C65BE8">
        <w:rPr>
          <w:rFonts w:ascii="SimSun" w:hAnsi="SimSun" w:hint="eastAsia"/>
          <w:sz w:val="21"/>
          <w:szCs w:val="22"/>
          <w:lang w:val="en"/>
        </w:rPr>
        <w:t>。</w:t>
      </w:r>
    </w:p>
    <w:p w:rsidR="00EF7B0A" w:rsidRPr="00C65BE8" w:rsidRDefault="00BA5EF1" w:rsidP="00C65BE8">
      <w:pPr>
        <w:pStyle w:val="Heading2"/>
        <w:spacing w:beforeLines="100" w:afterLines="50" w:after="120" w:line="340" w:lineRule="atLeast"/>
        <w:rPr>
          <w:rFonts w:ascii="SimHei" w:eastAsia="SimHei" w:hAnsi="SimHei"/>
          <w:caps w:val="0"/>
          <w:sz w:val="21"/>
        </w:rPr>
      </w:pPr>
      <w:r w:rsidRPr="00C65BE8">
        <w:rPr>
          <w:rFonts w:ascii="SimHei" w:eastAsia="SimHei" w:hAnsi="SimHei" w:hint="eastAsia"/>
          <w:caps w:val="0"/>
          <w:sz w:val="21"/>
        </w:rPr>
        <w:t>知识产权官员和审查员利用国际工具的能力建设</w:t>
      </w:r>
    </w:p>
    <w:p w:rsidR="005F29B8" w:rsidRPr="00C65BE8" w:rsidRDefault="00A25B2D" w:rsidP="00C65BE8">
      <w:pPr>
        <w:pStyle w:val="ONUME"/>
        <w:spacing w:afterLines="50" w:after="120" w:line="340" w:lineRule="atLeast"/>
        <w:jc w:val="both"/>
        <w:rPr>
          <w:rFonts w:ascii="SimSun" w:hAnsi="SimSun"/>
          <w:sz w:val="21"/>
          <w:lang w:val="en" w:eastAsia="ja-JP"/>
        </w:rPr>
      </w:pPr>
      <w:r w:rsidRPr="00C65BE8">
        <w:rPr>
          <w:rFonts w:ascii="SimSun" w:hAnsi="SimSun" w:hint="eastAsia"/>
          <w:sz w:val="21"/>
          <w:szCs w:val="22"/>
          <w:lang w:val="en"/>
        </w:rPr>
        <w:t>根据请求，2013年为</w:t>
      </w:r>
      <w:r w:rsidRPr="00C65BE8">
        <w:rPr>
          <w:rFonts w:ascii="SimSun" w:hAnsi="SimSun" w:hint="eastAsia"/>
          <w:sz w:val="21"/>
          <w:szCs w:val="21"/>
        </w:rPr>
        <w:t>知识产权</w:t>
      </w:r>
      <w:r w:rsidRPr="00C65BE8">
        <w:rPr>
          <w:rFonts w:ascii="SimSun" w:hAnsi="SimSun" w:hint="eastAsia"/>
          <w:sz w:val="21"/>
          <w:szCs w:val="22"/>
          <w:lang w:val="en"/>
        </w:rPr>
        <w:t>局官员和审查员举办了下列关于使用国际分类的培训课程和研讨会。在此背景下解释了相关WIPO标准的重要意义。</w:t>
      </w:r>
    </w:p>
    <w:p w:rsidR="005F29B8" w:rsidRPr="00C65BE8" w:rsidRDefault="00687808" w:rsidP="00C65BE8">
      <w:pPr>
        <w:pStyle w:val="ONUME"/>
        <w:numPr>
          <w:ilvl w:val="0"/>
          <w:numId w:val="7"/>
        </w:numPr>
        <w:spacing w:afterLines="50" w:after="120" w:line="340" w:lineRule="atLeast"/>
        <w:ind w:left="851" w:hanging="284"/>
        <w:jc w:val="both"/>
        <w:rPr>
          <w:rFonts w:ascii="SimSun" w:hAnsi="SimSun"/>
          <w:sz w:val="21"/>
          <w:szCs w:val="22"/>
          <w:lang w:val="en" w:eastAsia="ja-JP"/>
        </w:rPr>
      </w:pPr>
      <w:r w:rsidRPr="00C65BE8">
        <w:rPr>
          <w:rFonts w:ascii="SimSun" w:hAnsi="SimSun" w:hint="eastAsia"/>
          <w:sz w:val="21"/>
          <w:szCs w:val="22"/>
          <w:lang w:val="en"/>
        </w:rPr>
        <w:t>关于尼斯、维也纳和洛迦诺分类体系的区域讲习班(菲律宾马尼拉)，学员来自孟加拉国、文莱、柬埔寨、中国、印度、印度尼西亚、老挝人民民主共和国、马来西亚、蒙古、缅甸、巴布亚新几内亚、菲律宾、新加坡、斯里兰卡、泰国和越南；</w:t>
      </w:r>
    </w:p>
    <w:p w:rsidR="00C65BE8" w:rsidRDefault="00687808" w:rsidP="00C65BE8">
      <w:pPr>
        <w:pStyle w:val="ONUME"/>
        <w:numPr>
          <w:ilvl w:val="0"/>
          <w:numId w:val="7"/>
        </w:numPr>
        <w:spacing w:after="0" w:line="340" w:lineRule="atLeast"/>
        <w:ind w:left="851" w:hanging="284"/>
        <w:jc w:val="both"/>
        <w:rPr>
          <w:rFonts w:ascii="SimSun" w:hAnsi="SimSun"/>
          <w:sz w:val="21"/>
          <w:szCs w:val="22"/>
          <w:lang w:val="en" w:eastAsia="ja-JP"/>
        </w:rPr>
      </w:pPr>
      <w:r w:rsidRPr="00C65BE8">
        <w:rPr>
          <w:rFonts w:ascii="SimSun" w:hAnsi="SimSun" w:hint="eastAsia"/>
          <w:sz w:val="21"/>
          <w:szCs w:val="22"/>
          <w:lang w:val="en"/>
        </w:rPr>
        <w:t>关于尼斯、维也纳和洛迦诺分类体系的次区域培训讲习班(印度尼西亚</w:t>
      </w:r>
      <w:r w:rsidR="00D52D0A" w:rsidRPr="00C65BE8">
        <w:rPr>
          <w:rFonts w:ascii="SimSun" w:hAnsi="SimSun" w:hint="eastAsia"/>
          <w:sz w:val="21"/>
          <w:szCs w:val="22"/>
          <w:lang w:val="en"/>
        </w:rPr>
        <w:t>丹格朗</w:t>
      </w:r>
      <w:r w:rsidRPr="00C65BE8">
        <w:rPr>
          <w:rFonts w:ascii="SimSun" w:hAnsi="SimSun" w:hint="eastAsia"/>
          <w:sz w:val="21"/>
          <w:szCs w:val="22"/>
          <w:lang w:val="en"/>
        </w:rPr>
        <w:t>)，学员来自文莱、印度尼西亚和马来西亚；</w:t>
      </w:r>
    </w:p>
    <w:p w:rsidR="00EF7B0A" w:rsidRPr="00C65BE8" w:rsidRDefault="00D52D0A" w:rsidP="00C65BE8">
      <w:pPr>
        <w:pStyle w:val="ONUME"/>
        <w:numPr>
          <w:ilvl w:val="0"/>
          <w:numId w:val="0"/>
        </w:numPr>
        <w:spacing w:afterLines="50" w:after="120" w:line="340" w:lineRule="atLeast"/>
        <w:ind w:left="851"/>
        <w:jc w:val="both"/>
        <w:rPr>
          <w:rFonts w:ascii="SimSun" w:hAnsi="SimSun"/>
          <w:sz w:val="21"/>
          <w:szCs w:val="22"/>
          <w:lang w:val="en" w:eastAsia="ja-JP"/>
        </w:rPr>
      </w:pPr>
      <w:r w:rsidRPr="00C65BE8">
        <w:rPr>
          <w:rFonts w:ascii="SimSun" w:hAnsi="SimSun" w:hint="eastAsia"/>
          <w:sz w:val="21"/>
          <w:szCs w:val="22"/>
          <w:lang w:val="en"/>
        </w:rPr>
        <w:t>关于洛迦诺分类的国家讲习班，</w:t>
      </w:r>
      <w:r w:rsidR="00687808" w:rsidRPr="00C65BE8">
        <w:rPr>
          <w:rFonts w:ascii="SimSun" w:hAnsi="SimSun" w:hint="eastAsia"/>
          <w:sz w:val="21"/>
          <w:szCs w:val="22"/>
          <w:lang w:val="en"/>
        </w:rPr>
        <w:t>马来西亚吉隆坡</w:t>
      </w:r>
      <w:r w:rsidRPr="00C65BE8">
        <w:rPr>
          <w:rFonts w:ascii="SimSun" w:hAnsi="SimSun" w:hint="eastAsia"/>
          <w:sz w:val="21"/>
          <w:szCs w:val="22"/>
          <w:lang w:val="en"/>
        </w:rPr>
        <w:t>。</w:t>
      </w:r>
    </w:p>
    <w:p w:rsidR="00EF7B0A" w:rsidRPr="00C65BE8" w:rsidRDefault="00870B32" w:rsidP="00C65BE8">
      <w:pPr>
        <w:pStyle w:val="Heading2"/>
        <w:spacing w:beforeLines="100" w:afterLines="50" w:after="120" w:line="340" w:lineRule="atLeast"/>
        <w:rPr>
          <w:rFonts w:ascii="SimHei" w:eastAsia="SimHei" w:hAnsi="SimHei"/>
          <w:caps w:val="0"/>
          <w:sz w:val="21"/>
        </w:rPr>
      </w:pPr>
      <w:r w:rsidRPr="00C65BE8">
        <w:rPr>
          <w:rFonts w:ascii="SimHei" w:eastAsia="SimHei" w:hAnsi="SimHei" w:hint="eastAsia"/>
          <w:caps w:val="0"/>
          <w:sz w:val="21"/>
        </w:rPr>
        <w:t>更好地理解</w:t>
      </w:r>
      <w:r w:rsidR="00401A29" w:rsidRPr="00C65BE8">
        <w:rPr>
          <w:rFonts w:ascii="SimHei" w:eastAsia="SimHei" w:hAnsi="SimHei" w:hint="eastAsia"/>
          <w:caps w:val="0"/>
          <w:sz w:val="21"/>
        </w:rPr>
        <w:t>IP标准</w:t>
      </w:r>
    </w:p>
    <w:p w:rsidR="00EF7B0A" w:rsidRPr="00C65BE8" w:rsidRDefault="00870B32" w:rsidP="00C65BE8">
      <w:pPr>
        <w:pStyle w:val="ONUME"/>
        <w:spacing w:afterLines="50" w:after="120" w:line="340" w:lineRule="atLeast"/>
        <w:jc w:val="both"/>
        <w:rPr>
          <w:rFonts w:ascii="SimSun" w:hAnsi="SimSun"/>
          <w:sz w:val="21"/>
        </w:rPr>
      </w:pPr>
      <w:r w:rsidRPr="00C65BE8">
        <w:rPr>
          <w:rFonts w:ascii="SimSun" w:hAnsi="SimSun" w:hint="eastAsia"/>
          <w:sz w:val="21"/>
        </w:rPr>
        <w:t>为提高发展中国家对知识产权标准的认识，便于更多发展中国家实际参与WIPO新标准的制定或修订，根据2011年10月大会的决定，国际局资助七个发展中国家出席标准委员会第三届会议，即几内亚、伊朗(伊斯兰共和国)、约旦、缅甸、苏里南、也门和赞比亚。</w:t>
      </w:r>
    </w:p>
    <w:p w:rsidR="00EF7B0A" w:rsidRPr="00C65BE8" w:rsidRDefault="00870B32" w:rsidP="00C65BE8">
      <w:pPr>
        <w:pStyle w:val="ONUME"/>
        <w:spacing w:afterLines="50" w:after="120" w:line="340" w:lineRule="atLeast"/>
        <w:jc w:val="both"/>
        <w:rPr>
          <w:rFonts w:ascii="SimSun" w:hAnsi="SimSun"/>
          <w:sz w:val="21"/>
        </w:rPr>
      </w:pPr>
      <w:r w:rsidRPr="00C65BE8">
        <w:rPr>
          <w:rFonts w:ascii="SimSun" w:hAnsi="SimSun" w:hint="eastAsia"/>
          <w:sz w:val="21"/>
        </w:rPr>
        <w:t>2013年</w:t>
      </w:r>
      <w:r w:rsidRPr="00C65BE8">
        <w:rPr>
          <w:rFonts w:ascii="SimSun" w:hAnsi="SimSun" w:hint="eastAsia"/>
          <w:sz w:val="21"/>
          <w:szCs w:val="21"/>
        </w:rPr>
        <w:t>10</w:t>
      </w:r>
      <w:r w:rsidRPr="00C65BE8">
        <w:rPr>
          <w:rFonts w:ascii="SimSun" w:hAnsi="SimSun" w:hint="eastAsia"/>
          <w:sz w:val="21"/>
        </w:rPr>
        <w:t>月，WIPO网站进行了更新和重新设计。为便于获得WIPO标准文件，建立了</w:t>
      </w:r>
      <w:r w:rsidR="0028166A" w:rsidRPr="00C65BE8">
        <w:rPr>
          <w:rFonts w:ascii="SimSun" w:hAnsi="SimSun" w:hint="eastAsia"/>
          <w:sz w:val="21"/>
        </w:rPr>
        <w:t>专题</w:t>
      </w:r>
      <w:r w:rsidRPr="00C65BE8">
        <w:rPr>
          <w:rFonts w:ascii="SimSun" w:hAnsi="SimSun" w:hint="eastAsia"/>
          <w:sz w:val="21"/>
        </w:rPr>
        <w:t>网页直接通向WIPO标准目录(</w:t>
      </w:r>
      <w:hyperlink r:id="rId11" w:history="1">
        <w:r w:rsidRPr="00C65BE8">
          <w:rPr>
            <w:rStyle w:val="Hyperlink"/>
            <w:rFonts w:ascii="SimSun" w:hAnsi="SimSun"/>
            <w:sz w:val="21"/>
          </w:rPr>
          <w:t>http://www.wipo.int/standards/en/part_03_sta</w:t>
        </w:r>
        <w:r w:rsidRPr="00C65BE8">
          <w:rPr>
            <w:rStyle w:val="Hyperlink"/>
            <w:rFonts w:ascii="SimSun" w:hAnsi="SimSun"/>
            <w:sz w:val="21"/>
          </w:rPr>
          <w:t>n</w:t>
        </w:r>
        <w:r w:rsidRPr="00C65BE8">
          <w:rPr>
            <w:rStyle w:val="Hyperlink"/>
            <w:rFonts w:ascii="SimSun" w:hAnsi="SimSun"/>
            <w:sz w:val="21"/>
          </w:rPr>
          <w:t>dards.html</w:t>
        </w:r>
      </w:hyperlink>
      <w:r w:rsidRPr="00C65BE8">
        <w:rPr>
          <w:rFonts w:ascii="SimSun" w:hAnsi="SimSun" w:hint="eastAsia"/>
          <w:sz w:val="21"/>
        </w:rPr>
        <w:t>)和标准委员会的文献和活动(</w:t>
      </w:r>
      <w:hyperlink r:id="rId12" w:history="1">
        <w:r w:rsidRPr="00C65BE8">
          <w:rPr>
            <w:rStyle w:val="Hyperlink"/>
            <w:rFonts w:ascii="SimSun" w:hAnsi="SimSun"/>
            <w:sz w:val="21"/>
          </w:rPr>
          <w:t>http://www.wipo.int/c</w:t>
        </w:r>
        <w:r w:rsidRPr="00C65BE8">
          <w:rPr>
            <w:rStyle w:val="Hyperlink"/>
            <w:rFonts w:ascii="SimSun" w:hAnsi="SimSun"/>
            <w:sz w:val="21"/>
          </w:rPr>
          <w:t>w</w:t>
        </w:r>
        <w:r w:rsidRPr="00C65BE8">
          <w:rPr>
            <w:rStyle w:val="Hyperlink"/>
            <w:rFonts w:ascii="SimSun" w:hAnsi="SimSun"/>
            <w:sz w:val="21"/>
          </w:rPr>
          <w:t>s/en/</w:t>
        </w:r>
      </w:hyperlink>
      <w:r w:rsidRPr="00C65BE8">
        <w:rPr>
          <w:rFonts w:ascii="SimSun" w:hAnsi="SimSun" w:hint="eastAsia"/>
          <w:sz w:val="21"/>
        </w:rPr>
        <w:t>)。</w:t>
      </w:r>
    </w:p>
    <w:p w:rsidR="00EF7B0A" w:rsidRPr="00C65BE8" w:rsidRDefault="00870B32" w:rsidP="00C65BE8">
      <w:pPr>
        <w:pStyle w:val="Heading2"/>
        <w:spacing w:beforeLines="100" w:afterLines="50" w:after="120" w:line="340" w:lineRule="atLeast"/>
        <w:rPr>
          <w:rFonts w:ascii="SimHei" w:eastAsia="SimHei" w:hAnsi="SimHei"/>
          <w:caps w:val="0"/>
          <w:sz w:val="21"/>
        </w:rPr>
      </w:pPr>
      <w:r w:rsidRPr="00C65BE8">
        <w:rPr>
          <w:rFonts w:ascii="SimHei" w:eastAsia="SimHei" w:hAnsi="SimHei" w:hint="eastAsia"/>
          <w:caps w:val="0"/>
          <w:sz w:val="21"/>
        </w:rPr>
        <w:t>专利数据交换</w:t>
      </w:r>
    </w:p>
    <w:p w:rsidR="00EF7B0A" w:rsidRPr="00C65BE8" w:rsidRDefault="00870B32" w:rsidP="00C65BE8">
      <w:pPr>
        <w:pStyle w:val="ONUME"/>
        <w:spacing w:afterLines="50" w:after="120" w:line="340" w:lineRule="atLeast"/>
        <w:jc w:val="both"/>
        <w:rPr>
          <w:rFonts w:ascii="SimSun" w:hAnsi="SimSun"/>
          <w:sz w:val="21"/>
        </w:rPr>
      </w:pPr>
      <w:r w:rsidRPr="00C65BE8">
        <w:rPr>
          <w:rFonts w:ascii="SimSun" w:hAnsi="SimSun" w:hint="eastAsia"/>
          <w:sz w:val="21"/>
        </w:rPr>
        <w:t>国际局与某些发展中国家集团的知识产权局一道，促进专利数据的交换，以便使这些国家的用户更多地获取来自这些知识产权局的</w:t>
      </w:r>
      <w:r w:rsidRPr="00C65BE8">
        <w:rPr>
          <w:rFonts w:ascii="SimSun" w:hAnsi="SimSun" w:hint="eastAsia"/>
          <w:sz w:val="21"/>
          <w:szCs w:val="21"/>
        </w:rPr>
        <w:t>专利</w:t>
      </w:r>
      <w:r w:rsidRPr="00C65BE8">
        <w:rPr>
          <w:rFonts w:ascii="SimSun" w:hAnsi="SimSun" w:hint="eastAsia"/>
          <w:sz w:val="21"/>
        </w:rPr>
        <w:t>信息。专利数据的交换根据相关的WIPO标准进行。</w:t>
      </w:r>
      <w:r w:rsidR="00816F6B" w:rsidRPr="00C65BE8">
        <w:rPr>
          <w:rFonts w:ascii="SimSun" w:hAnsi="SimSun" w:hint="eastAsia"/>
          <w:sz w:val="21"/>
        </w:rPr>
        <w:t>2013年期间，</w:t>
      </w:r>
      <w:proofErr w:type="spellStart"/>
      <w:r w:rsidR="0025023A" w:rsidRPr="00C65BE8">
        <w:rPr>
          <w:rFonts w:ascii="SimSun" w:hAnsi="SimSun" w:hint="eastAsia"/>
          <w:sz w:val="21"/>
        </w:rPr>
        <w:t>Patentscope</w:t>
      </w:r>
      <w:proofErr w:type="spellEnd"/>
      <w:r w:rsidR="00816F6B" w:rsidRPr="00C65BE8">
        <w:rPr>
          <w:rFonts w:ascii="SimSun" w:hAnsi="SimSun" w:hint="eastAsia"/>
          <w:sz w:val="21"/>
        </w:rPr>
        <w:t>纳入了下列发展中国家的专利</w:t>
      </w:r>
      <w:r w:rsidR="00870E01" w:rsidRPr="00C65BE8">
        <w:rPr>
          <w:rFonts w:ascii="SimSun" w:hAnsi="SimSun" w:hint="eastAsia"/>
          <w:sz w:val="21"/>
        </w:rPr>
        <w:t>数据</w:t>
      </w:r>
      <w:r w:rsidR="00816F6B" w:rsidRPr="00C65BE8">
        <w:rPr>
          <w:rFonts w:ascii="SimSun" w:hAnsi="SimSun" w:hint="eastAsia"/>
          <w:sz w:val="21"/>
        </w:rPr>
        <w:t>：巴林、中国、埃及和阿拉伯联合酋长国。</w:t>
      </w:r>
    </w:p>
    <w:p w:rsidR="00EF7B0A" w:rsidRPr="00C65BE8" w:rsidRDefault="00EF7B0A" w:rsidP="00EF7B0A">
      <w:pPr>
        <w:pStyle w:val="ONUME"/>
        <w:numPr>
          <w:ilvl w:val="0"/>
          <w:numId w:val="0"/>
        </w:numPr>
        <w:rPr>
          <w:rFonts w:ascii="SimSun" w:hAnsi="SimSun"/>
          <w:sz w:val="21"/>
        </w:rPr>
      </w:pPr>
    </w:p>
    <w:p w:rsidR="00EF7B0A" w:rsidRPr="00C65BE8" w:rsidRDefault="00816F6B" w:rsidP="005B5A82">
      <w:pPr>
        <w:pStyle w:val="ONUME"/>
        <w:keepLines/>
        <w:tabs>
          <w:tab w:val="clear" w:pos="567"/>
        </w:tabs>
        <w:spacing w:afterLines="50" w:after="120" w:line="320" w:lineRule="atLeast"/>
        <w:ind w:left="5534"/>
        <w:jc w:val="both"/>
        <w:rPr>
          <w:rFonts w:ascii="KaiTi" w:eastAsia="KaiTi" w:hAnsi="KaiTi"/>
          <w:i/>
          <w:sz w:val="21"/>
        </w:rPr>
      </w:pPr>
      <w:r w:rsidRPr="00C65BE8">
        <w:rPr>
          <w:rFonts w:ascii="KaiTi" w:eastAsia="KaiTi" w:hAnsi="KaiTi" w:hint="eastAsia"/>
          <w:i/>
          <w:sz w:val="21"/>
        </w:rPr>
        <w:lastRenderedPageBreak/>
        <w:t>请标准委员会注意国际局2013年</w:t>
      </w:r>
      <w:r w:rsidR="00760817">
        <w:rPr>
          <w:rFonts w:ascii="KaiTi" w:eastAsia="KaiTi" w:hAnsi="KaiTi" w:hint="eastAsia"/>
          <w:i/>
          <w:sz w:val="21"/>
        </w:rPr>
        <w:t>在</w:t>
      </w:r>
      <w:r w:rsidR="00760817" w:rsidRPr="00C65BE8">
        <w:rPr>
          <w:rFonts w:ascii="KaiTi" w:eastAsia="KaiTi" w:hAnsi="KaiTi" w:hint="eastAsia"/>
          <w:i/>
          <w:sz w:val="21"/>
        </w:rPr>
        <w:t>知识产权标准信息传播方面</w:t>
      </w:r>
      <w:r w:rsidR="00C84BB1" w:rsidRPr="00C65BE8">
        <w:rPr>
          <w:rFonts w:ascii="KaiTi" w:eastAsia="KaiTi" w:hAnsi="KaiTi" w:hint="eastAsia"/>
          <w:i/>
          <w:sz w:val="21"/>
        </w:rPr>
        <w:t>向</w:t>
      </w:r>
      <w:r w:rsidRPr="00C65BE8">
        <w:rPr>
          <w:rFonts w:ascii="KaiTi" w:eastAsia="KaiTi" w:hAnsi="KaiTi" w:hint="eastAsia"/>
          <w:i/>
          <w:sz w:val="21"/>
        </w:rPr>
        <w:t>工业产权局</w:t>
      </w:r>
      <w:r w:rsidR="00C84BB1" w:rsidRPr="00C65BE8">
        <w:rPr>
          <w:rFonts w:ascii="KaiTi" w:eastAsia="KaiTi" w:hAnsi="KaiTi" w:hint="eastAsia"/>
          <w:i/>
          <w:sz w:val="21"/>
        </w:rPr>
        <w:t>提供</w:t>
      </w:r>
      <w:r w:rsidRPr="00C65BE8">
        <w:rPr>
          <w:rFonts w:ascii="KaiTi" w:eastAsia="KaiTi" w:hAnsi="KaiTi" w:hint="eastAsia"/>
          <w:i/>
          <w:sz w:val="21"/>
        </w:rPr>
        <w:t>技术咨询和援助</w:t>
      </w:r>
      <w:r w:rsidR="00760817">
        <w:rPr>
          <w:rFonts w:ascii="KaiTi" w:eastAsia="KaiTi" w:hAnsi="KaiTi" w:hint="eastAsia"/>
          <w:i/>
          <w:sz w:val="21"/>
        </w:rPr>
        <w:t>、</w:t>
      </w:r>
      <w:r w:rsidRPr="00C65BE8">
        <w:rPr>
          <w:rFonts w:ascii="KaiTi" w:eastAsia="KaiTi" w:hAnsi="KaiTi" w:hint="eastAsia"/>
          <w:i/>
          <w:sz w:val="21"/>
        </w:rPr>
        <w:t>开展</w:t>
      </w:r>
      <w:r w:rsidR="00760817" w:rsidRPr="00C65BE8">
        <w:rPr>
          <w:rFonts w:ascii="KaiTi" w:eastAsia="KaiTi" w:hAnsi="KaiTi" w:hint="eastAsia"/>
          <w:i/>
          <w:sz w:val="21"/>
        </w:rPr>
        <w:t>能力建设</w:t>
      </w:r>
      <w:r w:rsidRPr="00C65BE8">
        <w:rPr>
          <w:rFonts w:ascii="KaiTi" w:eastAsia="KaiTi" w:hAnsi="KaiTi" w:hint="eastAsia"/>
          <w:i/>
          <w:sz w:val="21"/>
        </w:rPr>
        <w:t>的各项活动。按</w:t>
      </w:r>
      <w:proofErr w:type="gramStart"/>
      <w:r w:rsidRPr="00C65BE8">
        <w:rPr>
          <w:rFonts w:ascii="KaiTi" w:eastAsia="KaiTi" w:hAnsi="KaiTi" w:hint="eastAsia"/>
          <w:i/>
          <w:sz w:val="21"/>
        </w:rPr>
        <w:t>2011年10月举行的WIPO大会第四十届会议的要求(</w:t>
      </w:r>
      <w:proofErr w:type="gramEnd"/>
      <w:r w:rsidRPr="00C65BE8">
        <w:rPr>
          <w:rFonts w:ascii="KaiTi" w:eastAsia="KaiTi" w:hAnsi="KaiTi" w:hint="eastAsia"/>
          <w:i/>
          <w:sz w:val="21"/>
        </w:rPr>
        <w:t>见文件</w:t>
      </w:r>
      <w:r w:rsidRPr="00C65BE8">
        <w:rPr>
          <w:rFonts w:ascii="KaiTi" w:eastAsia="KaiTi" w:hAnsi="KaiTi"/>
          <w:i/>
          <w:sz w:val="21"/>
        </w:rPr>
        <w:t>WO/GA/40/19</w:t>
      </w:r>
      <w:r w:rsidRPr="00C65BE8">
        <w:rPr>
          <w:rFonts w:ascii="KaiTi" w:eastAsia="KaiTi" w:hAnsi="KaiTi" w:hint="eastAsia"/>
          <w:i/>
          <w:sz w:val="21"/>
        </w:rPr>
        <w:t>第190段)，本文</w:t>
      </w:r>
      <w:r w:rsidR="00C84BB1" w:rsidRPr="00C65BE8">
        <w:rPr>
          <w:rFonts w:ascii="KaiTi" w:eastAsia="KaiTi" w:hAnsi="KaiTi" w:hint="eastAsia"/>
          <w:i/>
          <w:sz w:val="21"/>
        </w:rPr>
        <w:t>件</w:t>
      </w:r>
      <w:r w:rsidRPr="00C65BE8">
        <w:rPr>
          <w:rFonts w:ascii="KaiTi" w:eastAsia="KaiTi" w:hAnsi="KaiTi" w:hint="eastAsia"/>
          <w:i/>
          <w:sz w:val="21"/>
        </w:rPr>
        <w:t>将作为提交给将于2014年9月举行的WIPO大会的相关报告的基础。</w:t>
      </w:r>
    </w:p>
    <w:p w:rsidR="00EF7B0A" w:rsidRPr="00C65BE8" w:rsidRDefault="00EF7B0A" w:rsidP="00EF7B0A">
      <w:pPr>
        <w:pStyle w:val="BodyText"/>
        <w:rPr>
          <w:rFonts w:ascii="SimSun" w:hAnsi="SimSun"/>
          <w:sz w:val="21"/>
        </w:rPr>
      </w:pPr>
    </w:p>
    <w:p w:rsidR="00EF7B0A" w:rsidRPr="00760817" w:rsidRDefault="00EF7B0A" w:rsidP="005B5A82">
      <w:pPr>
        <w:pStyle w:val="Endofdocument"/>
        <w:spacing w:afterLines="50" w:after="120" w:line="340" w:lineRule="atLeast"/>
        <w:rPr>
          <w:rFonts w:ascii="KaiTi" w:eastAsia="KaiTi" w:hAnsi="KaiTi"/>
          <w:sz w:val="21"/>
        </w:rPr>
      </w:pPr>
      <w:r w:rsidRPr="00760817">
        <w:rPr>
          <w:rFonts w:ascii="KaiTi" w:eastAsia="KaiTi" w:hAnsi="KaiTi"/>
          <w:sz w:val="21"/>
          <w:szCs w:val="22"/>
        </w:rPr>
        <w:t>[</w:t>
      </w:r>
      <w:r w:rsidR="00246AA3" w:rsidRPr="00760817">
        <w:rPr>
          <w:rFonts w:ascii="KaiTi" w:eastAsia="KaiTi" w:hAnsi="KaiTi" w:hint="eastAsia"/>
          <w:sz w:val="21"/>
          <w:szCs w:val="22"/>
        </w:rPr>
        <w:t>文件完</w:t>
      </w:r>
      <w:r w:rsidRPr="00760817">
        <w:rPr>
          <w:rFonts w:ascii="KaiTi" w:eastAsia="KaiTi" w:hAnsi="KaiTi"/>
          <w:sz w:val="21"/>
          <w:szCs w:val="22"/>
        </w:rPr>
        <w:t>]</w:t>
      </w:r>
    </w:p>
    <w:sectPr w:rsidR="00EF7B0A" w:rsidRPr="00760817" w:rsidSect="00C65BE8">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A78" w:rsidRDefault="00FC3A78">
      <w:r>
        <w:separator/>
      </w:r>
    </w:p>
  </w:endnote>
  <w:endnote w:type="continuationSeparator" w:id="0">
    <w:p w:rsidR="00FC3A78" w:rsidRDefault="00FC3A78" w:rsidP="003B38C1">
      <w:r>
        <w:separator/>
      </w:r>
    </w:p>
    <w:p w:rsidR="00FC3A78" w:rsidRPr="003B38C1" w:rsidRDefault="00FC3A78" w:rsidP="003B38C1">
      <w:pPr>
        <w:spacing w:after="60"/>
        <w:rPr>
          <w:sz w:val="17"/>
        </w:rPr>
      </w:pPr>
      <w:r>
        <w:rPr>
          <w:sz w:val="17"/>
        </w:rPr>
        <w:t>[Endnote continued from previous page]</w:t>
      </w:r>
    </w:p>
  </w:endnote>
  <w:endnote w:type="continuationNotice" w:id="1">
    <w:p w:rsidR="00FC3A78" w:rsidRPr="003B38C1" w:rsidRDefault="00FC3A7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A78" w:rsidRDefault="00FC3A78">
      <w:r>
        <w:separator/>
      </w:r>
    </w:p>
  </w:footnote>
  <w:footnote w:type="continuationSeparator" w:id="0">
    <w:p w:rsidR="00FC3A78" w:rsidRDefault="00FC3A78" w:rsidP="008B60B2">
      <w:r>
        <w:separator/>
      </w:r>
    </w:p>
    <w:p w:rsidR="00FC3A78" w:rsidRPr="00ED77FB" w:rsidRDefault="00FC3A78" w:rsidP="008B60B2">
      <w:pPr>
        <w:spacing w:after="60"/>
        <w:rPr>
          <w:sz w:val="17"/>
          <w:szCs w:val="17"/>
        </w:rPr>
      </w:pPr>
      <w:r w:rsidRPr="00ED77FB">
        <w:rPr>
          <w:sz w:val="17"/>
          <w:szCs w:val="17"/>
        </w:rPr>
        <w:t>[Footnote continued from previous page]</w:t>
      </w:r>
    </w:p>
  </w:footnote>
  <w:footnote w:type="continuationNotice" w:id="1">
    <w:p w:rsidR="00FC3A78" w:rsidRPr="00ED77FB" w:rsidRDefault="00FC3A7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C65BE8" w:rsidRDefault="00FC3A78" w:rsidP="00477D6B">
    <w:pPr>
      <w:jc w:val="right"/>
      <w:rPr>
        <w:rFonts w:ascii="SimSun" w:hAnsi="SimSun"/>
        <w:sz w:val="21"/>
      </w:rPr>
    </w:pPr>
    <w:bookmarkStart w:id="3" w:name="Code2"/>
    <w:bookmarkEnd w:id="3"/>
    <w:r w:rsidRPr="00C65BE8">
      <w:rPr>
        <w:rFonts w:ascii="SimSun" w:hAnsi="SimSun"/>
        <w:sz w:val="21"/>
      </w:rPr>
      <w:t>CWS/4/13</w:t>
    </w:r>
  </w:p>
  <w:p w:rsidR="00EC4E49" w:rsidRPr="00C65BE8" w:rsidRDefault="00246AA3" w:rsidP="00477D6B">
    <w:pPr>
      <w:jc w:val="right"/>
      <w:rPr>
        <w:rFonts w:ascii="SimSun" w:hAnsi="SimSun"/>
        <w:sz w:val="21"/>
      </w:rPr>
    </w:pPr>
    <w:r w:rsidRPr="00C65BE8">
      <w:rPr>
        <w:rFonts w:ascii="SimSun" w:hAnsi="SimSun" w:hint="eastAsia"/>
        <w:sz w:val="21"/>
      </w:rPr>
      <w:t>第</w:t>
    </w:r>
    <w:r w:rsidR="00EC4E49" w:rsidRPr="00C65BE8">
      <w:rPr>
        <w:rFonts w:ascii="SimSun" w:hAnsi="SimSun"/>
        <w:sz w:val="21"/>
      </w:rPr>
      <w:fldChar w:fldCharType="begin"/>
    </w:r>
    <w:r w:rsidR="00EC4E49" w:rsidRPr="00C65BE8">
      <w:rPr>
        <w:rFonts w:ascii="SimSun" w:hAnsi="SimSun"/>
        <w:sz w:val="21"/>
      </w:rPr>
      <w:instrText xml:space="preserve"> PAGE  \* MERGEFORMAT </w:instrText>
    </w:r>
    <w:r w:rsidR="00EC4E49" w:rsidRPr="00C65BE8">
      <w:rPr>
        <w:rFonts w:ascii="SimSun" w:hAnsi="SimSun"/>
        <w:sz w:val="21"/>
      </w:rPr>
      <w:fldChar w:fldCharType="separate"/>
    </w:r>
    <w:r w:rsidR="003401DC">
      <w:rPr>
        <w:rFonts w:ascii="SimSun" w:hAnsi="SimSun"/>
        <w:noProof/>
        <w:sz w:val="21"/>
      </w:rPr>
      <w:t>2</w:t>
    </w:r>
    <w:r w:rsidR="00EC4E49" w:rsidRPr="00C65BE8">
      <w:rPr>
        <w:rFonts w:ascii="SimSun" w:hAnsi="SimSun"/>
        <w:sz w:val="21"/>
      </w:rPr>
      <w:fldChar w:fldCharType="end"/>
    </w:r>
    <w:r w:rsidRPr="00C65BE8">
      <w:rPr>
        <w:rFonts w:ascii="SimSun" w:hAnsi="SimSun" w:hint="eastAsia"/>
        <w:sz w:val="21"/>
      </w:rPr>
      <w:t>页</w:t>
    </w:r>
  </w:p>
  <w:p w:rsidR="00EC4E49" w:rsidRPr="00C65BE8" w:rsidRDefault="00EC4E49" w:rsidP="00477D6B">
    <w:pPr>
      <w:jc w:val="right"/>
      <w:rPr>
        <w:rFonts w:ascii="SimSun" w:hAnsi="SimSun"/>
        <w:sz w:val="21"/>
      </w:rPr>
    </w:pPr>
  </w:p>
  <w:p w:rsidR="000D5E3C" w:rsidRPr="00C65BE8" w:rsidRDefault="000D5E3C"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A78"/>
    <w:rsid w:val="00043CAA"/>
    <w:rsid w:val="00075432"/>
    <w:rsid w:val="000968ED"/>
    <w:rsid w:val="000D5E3C"/>
    <w:rsid w:val="000F5E56"/>
    <w:rsid w:val="000F7C08"/>
    <w:rsid w:val="001362EE"/>
    <w:rsid w:val="001832A6"/>
    <w:rsid w:val="001B28FE"/>
    <w:rsid w:val="00215A03"/>
    <w:rsid w:val="00244419"/>
    <w:rsid w:val="00246AA3"/>
    <w:rsid w:val="0025023A"/>
    <w:rsid w:val="002634C4"/>
    <w:rsid w:val="0028166A"/>
    <w:rsid w:val="002860BE"/>
    <w:rsid w:val="002928D3"/>
    <w:rsid w:val="002A5616"/>
    <w:rsid w:val="002F1FE6"/>
    <w:rsid w:val="002F4E68"/>
    <w:rsid w:val="00312F7F"/>
    <w:rsid w:val="003401DC"/>
    <w:rsid w:val="003471FC"/>
    <w:rsid w:val="00361450"/>
    <w:rsid w:val="003673CF"/>
    <w:rsid w:val="003845C1"/>
    <w:rsid w:val="003A6F89"/>
    <w:rsid w:val="003B38C1"/>
    <w:rsid w:val="00401A29"/>
    <w:rsid w:val="00420715"/>
    <w:rsid w:val="00423E3E"/>
    <w:rsid w:val="00427AF4"/>
    <w:rsid w:val="004647DA"/>
    <w:rsid w:val="00474062"/>
    <w:rsid w:val="00477D6B"/>
    <w:rsid w:val="004C6FAF"/>
    <w:rsid w:val="005019FF"/>
    <w:rsid w:val="0053057A"/>
    <w:rsid w:val="00560A29"/>
    <w:rsid w:val="005B5A82"/>
    <w:rsid w:val="005C6649"/>
    <w:rsid w:val="005F29B8"/>
    <w:rsid w:val="00605827"/>
    <w:rsid w:val="00646050"/>
    <w:rsid w:val="00647258"/>
    <w:rsid w:val="00662341"/>
    <w:rsid w:val="006713CA"/>
    <w:rsid w:val="00676C5C"/>
    <w:rsid w:val="00687808"/>
    <w:rsid w:val="006C2409"/>
    <w:rsid w:val="006C6AA8"/>
    <w:rsid w:val="00760817"/>
    <w:rsid w:val="0076631B"/>
    <w:rsid w:val="007D1613"/>
    <w:rsid w:val="00816F6B"/>
    <w:rsid w:val="00856C53"/>
    <w:rsid w:val="00870B32"/>
    <w:rsid w:val="00870E01"/>
    <w:rsid w:val="008822DF"/>
    <w:rsid w:val="008A19FF"/>
    <w:rsid w:val="008A70F6"/>
    <w:rsid w:val="008B2CC1"/>
    <w:rsid w:val="008B60B2"/>
    <w:rsid w:val="0090731E"/>
    <w:rsid w:val="00916EE2"/>
    <w:rsid w:val="00966A22"/>
    <w:rsid w:val="0096722F"/>
    <w:rsid w:val="00980843"/>
    <w:rsid w:val="009C12E4"/>
    <w:rsid w:val="009E2791"/>
    <w:rsid w:val="009E3F6F"/>
    <w:rsid w:val="009F499F"/>
    <w:rsid w:val="00A25B2D"/>
    <w:rsid w:val="00A42DAF"/>
    <w:rsid w:val="00A45BD8"/>
    <w:rsid w:val="00A869B7"/>
    <w:rsid w:val="00A9671E"/>
    <w:rsid w:val="00AC205C"/>
    <w:rsid w:val="00AF0A6B"/>
    <w:rsid w:val="00B05A69"/>
    <w:rsid w:val="00B42F89"/>
    <w:rsid w:val="00B9734B"/>
    <w:rsid w:val="00BA5EF1"/>
    <w:rsid w:val="00BD7615"/>
    <w:rsid w:val="00C11BFE"/>
    <w:rsid w:val="00C65BE8"/>
    <w:rsid w:val="00C84BB1"/>
    <w:rsid w:val="00D20553"/>
    <w:rsid w:val="00D45252"/>
    <w:rsid w:val="00D52D0A"/>
    <w:rsid w:val="00D705D2"/>
    <w:rsid w:val="00D71B4D"/>
    <w:rsid w:val="00D93D55"/>
    <w:rsid w:val="00DA607F"/>
    <w:rsid w:val="00E335FE"/>
    <w:rsid w:val="00E501B4"/>
    <w:rsid w:val="00E84598"/>
    <w:rsid w:val="00E91404"/>
    <w:rsid w:val="00EB4CC1"/>
    <w:rsid w:val="00EC4E49"/>
    <w:rsid w:val="00ED77FB"/>
    <w:rsid w:val="00EE1265"/>
    <w:rsid w:val="00EE45FA"/>
    <w:rsid w:val="00EF7B0A"/>
    <w:rsid w:val="00F13CC5"/>
    <w:rsid w:val="00F3657A"/>
    <w:rsid w:val="00F66152"/>
    <w:rsid w:val="00FB5F36"/>
    <w:rsid w:val="00FC3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 w:type="character" w:styleId="FollowedHyperlink">
    <w:name w:val="FollowedHyperlink"/>
    <w:basedOn w:val="DefaultParagraphFont"/>
    <w:rsid w:val="003401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 w:type="character" w:styleId="FollowedHyperlink">
    <w:name w:val="FollowedHyperlink"/>
    <w:basedOn w:val="DefaultParagraphFont"/>
    <w:rsid w:val="003401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ipo.int/cw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po.int/standards/en/part_03_standard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ipo.int/global_ip/en/activities/technicalassistance/" TargetMode="External"/><Relationship Id="rId4" Type="http://schemas.openxmlformats.org/officeDocument/2006/relationships/settings" Target="settings.xml"/><Relationship Id="rId9" Type="http://schemas.openxmlformats.org/officeDocument/2006/relationships/hyperlink" Target="http://www.wipo.int/tad"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42</TotalTime>
  <Pages>3</Pages>
  <Words>1768</Words>
  <Characters>617</Characters>
  <Application>Microsoft Office Word</Application>
  <DocSecurity>0</DocSecurity>
  <Lines>5</Lines>
  <Paragraphs>4</Paragraphs>
  <ScaleCrop>false</ScaleCrop>
  <HeadingPairs>
    <vt:vector size="2" baseType="variant">
      <vt:variant>
        <vt:lpstr>Title</vt:lpstr>
      </vt:variant>
      <vt:variant>
        <vt:i4>1</vt:i4>
      </vt:variant>
    </vt:vector>
  </HeadingPairs>
  <TitlesOfParts>
    <vt:vector size="1" baseType="lpstr">
      <vt:lpstr>CWS/4/13 (in Chinese)</vt:lpstr>
    </vt:vector>
  </TitlesOfParts>
  <Company>WIPO</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CWS/4/13 (in Chinese)</dc:title>
  <dc:subject>关于根据标准委员会任务规定向工业产权局提供技术咨询和援助开展能力建设的报告</dc:subject>
  <dc:creator>WIPO</dc:creator>
  <cp:lastModifiedBy>Geraldine Rodriguez</cp:lastModifiedBy>
  <cp:revision>4</cp:revision>
  <cp:lastPrinted>2014-03-20T09:00:00Z</cp:lastPrinted>
  <dcterms:created xsi:type="dcterms:W3CDTF">2014-03-25T09:49:00Z</dcterms:created>
  <dcterms:modified xsi:type="dcterms:W3CDTF">2014-04-09T14:50:00Z</dcterms:modified>
</cp:coreProperties>
</file>