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D49C6" w:rsidRPr="00E225CE" w:rsidTr="009D7C9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49C6" w:rsidRPr="00E225CE" w:rsidRDefault="009D49C6" w:rsidP="009D7C91">
            <w:pPr>
              <w:jc w:val="both"/>
            </w:pPr>
            <w:bookmarkStart w:id="0" w:name="TitleOfDoc"/>
            <w:bookmarkEnd w:id="0"/>
            <w:r w:rsidRPr="00E225C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1AC8BB" wp14:editId="4393970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>
            <w:pPr>
              <w:jc w:val="right"/>
            </w:pPr>
            <w:r w:rsidRPr="00E225CE">
              <w:rPr>
                <w:b/>
                <w:sz w:val="40"/>
                <w:szCs w:val="40"/>
              </w:rPr>
              <w:t>C</w:t>
            </w:r>
          </w:p>
        </w:tc>
      </w:tr>
      <w:tr w:rsidR="009D49C6" w:rsidRPr="00E225CE" w:rsidTr="009D7C9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49C6" w:rsidRPr="00E225CE" w:rsidRDefault="009D49C6" w:rsidP="009D49C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25CE">
              <w:rPr>
                <w:rFonts w:ascii="Arial Black" w:hAnsi="Arial Black" w:hint="eastAsia"/>
                <w:caps/>
                <w:sz w:val="15"/>
              </w:rPr>
              <w:t>cws/4</w:t>
            </w:r>
            <w:r w:rsidRPr="00E225CE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9D49C6" w:rsidRPr="00E225CE" w:rsidTr="009D7C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9D7C9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25C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25CE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9D49C6" w:rsidRPr="00E225CE" w:rsidTr="009D7C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9D49C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25C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E225C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E225C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>
      <w:pPr>
        <w:spacing w:line="360" w:lineRule="atLeast"/>
        <w:rPr>
          <w:rFonts w:ascii="SimHei" w:eastAsia="SimHei"/>
          <w:sz w:val="28"/>
          <w:szCs w:val="28"/>
        </w:rPr>
      </w:pPr>
      <w:r w:rsidRPr="00E225CE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9D49C6" w:rsidRPr="00E225CE" w:rsidRDefault="009D49C6" w:rsidP="009D49C6">
      <w:pPr>
        <w:rPr>
          <w:szCs w:val="22"/>
        </w:rPr>
      </w:pPr>
    </w:p>
    <w:p w:rsidR="009D49C6" w:rsidRPr="00E225CE" w:rsidRDefault="009D49C6" w:rsidP="009D49C6">
      <w:pPr>
        <w:rPr>
          <w:sz w:val="24"/>
          <w:szCs w:val="24"/>
        </w:rPr>
      </w:pPr>
    </w:p>
    <w:p w:rsidR="009D49C6" w:rsidRPr="00E225CE" w:rsidRDefault="009D49C6" w:rsidP="009D49C6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E225CE">
        <w:rPr>
          <w:rFonts w:ascii="KaiTi" w:eastAsia="KaiTi" w:hint="eastAsia"/>
          <w:b/>
          <w:sz w:val="24"/>
          <w:szCs w:val="24"/>
        </w:rPr>
        <w:t>第四届会议</w:t>
      </w:r>
    </w:p>
    <w:p w:rsidR="009D49C6" w:rsidRPr="00E225CE" w:rsidRDefault="009D49C6" w:rsidP="009D49C6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E225CE">
        <w:rPr>
          <w:rFonts w:ascii="KaiTi" w:eastAsia="KaiTi" w:hAnsi="KaiTi" w:hint="eastAsia"/>
          <w:sz w:val="24"/>
          <w:szCs w:val="24"/>
        </w:rPr>
        <w:t>2014</w:t>
      </w:r>
      <w:r w:rsidRPr="00E225CE">
        <w:rPr>
          <w:rFonts w:ascii="KaiTi" w:eastAsia="KaiTi" w:hAnsi="KaiTi" w:hint="eastAsia"/>
          <w:b/>
          <w:sz w:val="24"/>
          <w:szCs w:val="24"/>
        </w:rPr>
        <w:t>年</w:t>
      </w:r>
      <w:r w:rsidRPr="00E225CE">
        <w:rPr>
          <w:rFonts w:ascii="KaiTi" w:eastAsia="KaiTi" w:hAnsi="KaiTi" w:hint="eastAsia"/>
          <w:sz w:val="24"/>
          <w:szCs w:val="24"/>
        </w:rPr>
        <w:t>5</w:t>
      </w:r>
      <w:r w:rsidRPr="00E225CE">
        <w:rPr>
          <w:rFonts w:ascii="KaiTi" w:eastAsia="KaiTi" w:hAnsi="KaiTi" w:hint="eastAsia"/>
          <w:b/>
          <w:sz w:val="24"/>
          <w:szCs w:val="24"/>
        </w:rPr>
        <w:t>月</w:t>
      </w:r>
      <w:r w:rsidRPr="00E225CE">
        <w:rPr>
          <w:rFonts w:ascii="KaiTi" w:eastAsia="KaiTi" w:hAnsi="KaiTi" w:hint="eastAsia"/>
          <w:sz w:val="24"/>
          <w:szCs w:val="24"/>
        </w:rPr>
        <w:t>12</w:t>
      </w:r>
      <w:r w:rsidRPr="00E225CE">
        <w:rPr>
          <w:rFonts w:ascii="KaiTi" w:eastAsia="KaiTi" w:hAnsi="KaiTi" w:hint="eastAsia"/>
          <w:b/>
          <w:sz w:val="24"/>
          <w:szCs w:val="24"/>
        </w:rPr>
        <w:t>日至</w:t>
      </w:r>
      <w:r w:rsidRPr="00E225CE">
        <w:rPr>
          <w:rFonts w:ascii="KaiTi" w:eastAsia="KaiTi" w:hAnsi="KaiTi" w:hint="eastAsia"/>
          <w:sz w:val="24"/>
          <w:szCs w:val="24"/>
        </w:rPr>
        <w:t>16</w:t>
      </w:r>
      <w:r w:rsidRPr="00E225C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>
      <w:pPr>
        <w:rPr>
          <w:rFonts w:ascii="KaiTi" w:eastAsia="KaiTi" w:hAnsi="KaiTi" w:cs="Times New Roman"/>
          <w:kern w:val="2"/>
          <w:sz w:val="24"/>
          <w:szCs w:val="32"/>
        </w:rPr>
      </w:pPr>
      <w:r w:rsidRPr="009D49C6">
        <w:rPr>
          <w:rFonts w:ascii="KaiTi" w:eastAsia="KaiTi" w:hAnsi="KaiTi" w:cs="Times New Roman" w:hint="eastAsia"/>
          <w:kern w:val="2"/>
          <w:sz w:val="24"/>
          <w:szCs w:val="32"/>
        </w:rPr>
        <w:t>关于用可扩展标记语言(XML)表示核苷酸和氨基酸序列表的新WIPO标准</w:t>
      </w:r>
    </w:p>
    <w:p w:rsidR="009D49C6" w:rsidRPr="00E225CE" w:rsidRDefault="009D49C6" w:rsidP="009D49C6">
      <w:pPr>
        <w:rPr>
          <w:rFonts w:ascii="SimSun" w:hAnsi="SimSun"/>
          <w:szCs w:val="22"/>
        </w:rPr>
      </w:pPr>
    </w:p>
    <w:p w:rsidR="009D49C6" w:rsidRPr="00E225CE" w:rsidRDefault="009D49C6" w:rsidP="009D49C6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E225CE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2928D3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9D49C6" w:rsidRPr="0063202F">
        <w:rPr>
          <w:rFonts w:ascii="SimSun" w:hAnsi="SimSun" w:hint="eastAsia"/>
          <w:sz w:val="21"/>
        </w:rPr>
        <w:t>WIPO标准委员会</w:t>
      </w:r>
      <w:r>
        <w:rPr>
          <w:rFonts w:ascii="SimSun" w:hAnsi="SimSun" w:hint="eastAsia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CWS，标准委员会</w:t>
      </w:r>
      <w:r>
        <w:rPr>
          <w:rFonts w:ascii="SimSun" w:hAnsi="SimSun" w:hint="eastAsia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在2010年10月举行的第一届会议上，同意设立第44号任务，制定一项关于基于可扩展标记语言</w:t>
      </w:r>
      <w:r>
        <w:rPr>
          <w:rFonts w:ascii="SimSun" w:hAnsi="SimSun" w:hint="eastAsia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XML</w:t>
      </w:r>
      <w:r>
        <w:rPr>
          <w:rFonts w:ascii="SimSun" w:hAnsi="SimSun" w:hint="eastAsia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的核苷酸和氨基酸序列表表示方法的建议，以作为WIPO标准通过。标准委员会还决定组建一支工作队负责这项任务</w:t>
      </w:r>
      <w:r w:rsidR="00117A63" w:rsidRPr="0063202F">
        <w:rPr>
          <w:rFonts w:ascii="SimSun" w:hAnsi="SimSun"/>
          <w:sz w:val="21"/>
        </w:rPr>
        <w:t>(SEQL</w:t>
      </w:r>
      <w:r w:rsidR="009D49C6" w:rsidRPr="0063202F">
        <w:rPr>
          <w:rFonts w:ascii="SimSun" w:hAnsi="SimSun" w:hint="eastAsia"/>
          <w:sz w:val="21"/>
        </w:rPr>
        <w:t>工作队</w:t>
      </w:r>
      <w:r w:rsidR="00117A63" w:rsidRPr="0063202F">
        <w:rPr>
          <w:rFonts w:ascii="SimSun" w:hAnsi="SimSun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。欧洲专利局</w:t>
      </w:r>
      <w:r w:rsidR="00F23036" w:rsidRPr="0063202F">
        <w:rPr>
          <w:rFonts w:ascii="SimSun" w:hAnsi="SimSun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欧专局</w:t>
      </w:r>
      <w:r w:rsidR="00F23036" w:rsidRPr="0063202F">
        <w:rPr>
          <w:rFonts w:ascii="SimSun" w:hAnsi="SimSun"/>
          <w:sz w:val="21"/>
        </w:rPr>
        <w:t>)</w:t>
      </w:r>
      <w:r w:rsidR="009D49C6" w:rsidRPr="0063202F">
        <w:rPr>
          <w:rFonts w:ascii="SimSun" w:hAnsi="SimSun" w:hint="eastAsia"/>
          <w:sz w:val="21"/>
        </w:rPr>
        <w:t>被指定为工作队牵头人</w:t>
      </w:r>
      <w:r w:rsidR="0063202F">
        <w:rPr>
          <w:rFonts w:ascii="SimSun" w:hAnsi="SimSun" w:hint="eastAsia"/>
          <w:sz w:val="21"/>
        </w:rPr>
        <w:t>。</w:t>
      </w:r>
      <w:r w:rsidR="00117A63" w:rsidRPr="0063202F">
        <w:rPr>
          <w:rFonts w:ascii="SimSun" w:hAnsi="SimSun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见文件</w:t>
      </w:r>
      <w:r w:rsidR="009D49C6" w:rsidRPr="0063202F">
        <w:rPr>
          <w:rFonts w:ascii="SimSun" w:hAnsi="SimSun"/>
          <w:sz w:val="21"/>
        </w:rPr>
        <w:t>CWS/1/10</w:t>
      </w:r>
      <w:r w:rsidR="009D49C6" w:rsidRPr="0063202F">
        <w:rPr>
          <w:rFonts w:ascii="SimSun" w:hAnsi="SimSun" w:hint="eastAsia"/>
          <w:sz w:val="21"/>
        </w:rPr>
        <w:t>第</w:t>
      </w:r>
      <w:r w:rsidR="00117A63" w:rsidRPr="0063202F">
        <w:rPr>
          <w:rFonts w:ascii="SimSun" w:hAnsi="SimSun"/>
          <w:sz w:val="21"/>
        </w:rPr>
        <w:t>27</w:t>
      </w:r>
      <w:r w:rsidR="009D49C6" w:rsidRPr="0063202F">
        <w:rPr>
          <w:rFonts w:ascii="SimSun" w:hAnsi="SimSun" w:hint="eastAsia"/>
          <w:sz w:val="21"/>
        </w:rPr>
        <w:t>段至第</w:t>
      </w:r>
      <w:r w:rsidR="00117A63" w:rsidRPr="0063202F">
        <w:rPr>
          <w:rFonts w:ascii="SimSun" w:hAnsi="SimSun"/>
          <w:sz w:val="21"/>
        </w:rPr>
        <w:t>30</w:t>
      </w:r>
      <w:r w:rsidR="009D49C6" w:rsidRPr="0063202F">
        <w:rPr>
          <w:rFonts w:ascii="SimSun" w:hAnsi="SimSun" w:hint="eastAsia"/>
          <w:sz w:val="21"/>
        </w:rPr>
        <w:t>段、文件</w:t>
      </w:r>
      <w:r w:rsidR="00117A63" w:rsidRPr="0063202F">
        <w:rPr>
          <w:rFonts w:ascii="SimSun" w:hAnsi="SimSun"/>
          <w:sz w:val="21"/>
        </w:rPr>
        <w:t>CWS/3/12</w:t>
      </w:r>
      <w:r w:rsidR="009D49C6" w:rsidRPr="0063202F">
        <w:rPr>
          <w:rFonts w:ascii="SimSun" w:hAnsi="SimSun" w:hint="eastAsia"/>
          <w:sz w:val="21"/>
        </w:rPr>
        <w:t>第</w:t>
      </w:r>
      <w:r w:rsidR="009D49C6" w:rsidRPr="0063202F">
        <w:rPr>
          <w:rFonts w:ascii="SimSun" w:hAnsi="SimSun"/>
          <w:sz w:val="21"/>
        </w:rPr>
        <w:t>44</w:t>
      </w:r>
      <w:r w:rsidR="009D49C6" w:rsidRPr="0063202F">
        <w:rPr>
          <w:rFonts w:ascii="SimSun" w:hAnsi="SimSun" w:hint="eastAsia"/>
          <w:sz w:val="21"/>
        </w:rPr>
        <w:t>号任务，任务说明也</w:t>
      </w:r>
      <w:r w:rsidR="00A63152">
        <w:rPr>
          <w:rFonts w:ascii="SimSun" w:hAnsi="SimSun" w:hint="eastAsia"/>
          <w:sz w:val="21"/>
        </w:rPr>
        <w:t>可</w:t>
      </w:r>
      <w:r w:rsidR="009D49C6" w:rsidRPr="0063202F">
        <w:rPr>
          <w:rFonts w:ascii="SimSun" w:hAnsi="SimSun" w:hint="eastAsia"/>
          <w:sz w:val="21"/>
        </w:rPr>
        <w:t>见本文件附件一。</w:t>
      </w:r>
      <w:r w:rsidR="00117A63" w:rsidRPr="0063202F">
        <w:rPr>
          <w:rFonts w:ascii="SimSun" w:hAnsi="SimSun"/>
          <w:sz w:val="21"/>
        </w:rPr>
        <w:t>)</w:t>
      </w:r>
    </w:p>
    <w:p w:rsidR="00117A63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9D49C6" w:rsidRPr="0063202F">
        <w:rPr>
          <w:rFonts w:ascii="SimSun" w:hAnsi="SimSun" w:hint="eastAsia"/>
          <w:sz w:val="21"/>
        </w:rPr>
        <w:t>标准委员会</w:t>
      </w:r>
      <w:proofErr w:type="gramStart"/>
      <w:r w:rsidR="009D49C6" w:rsidRPr="0063202F">
        <w:rPr>
          <w:rFonts w:ascii="SimSun" w:hAnsi="SimSun" w:hint="eastAsia"/>
          <w:sz w:val="21"/>
        </w:rPr>
        <w:t>作出</w:t>
      </w:r>
      <w:proofErr w:type="gramEnd"/>
      <w:r w:rsidR="009D49C6" w:rsidRPr="0063202F">
        <w:rPr>
          <w:rFonts w:ascii="SimSun" w:hAnsi="SimSun" w:hint="eastAsia"/>
          <w:sz w:val="21"/>
        </w:rPr>
        <w:t>上述决定之后，13个工业产权局和国际局的代表被提名参加工作队。在第二届和第三届会议上，</w:t>
      </w:r>
      <w:r w:rsidR="009D49C6" w:rsidRPr="0063202F">
        <w:rPr>
          <w:rFonts w:ascii="SimSun" w:hAnsi="SimSun"/>
          <w:sz w:val="21"/>
        </w:rPr>
        <w:t>标准委员会</w:t>
      </w:r>
      <w:r w:rsidR="009D49C6" w:rsidRPr="0063202F">
        <w:rPr>
          <w:rFonts w:ascii="SimSun" w:hAnsi="SimSun" w:hint="eastAsia"/>
          <w:sz w:val="21"/>
        </w:rPr>
        <w:t>注意到</w:t>
      </w:r>
      <w:proofErr w:type="gramStart"/>
      <w:r w:rsidR="009D49C6" w:rsidRPr="0063202F">
        <w:rPr>
          <w:rFonts w:ascii="SimSun" w:hAnsi="SimSun" w:hint="eastAsia"/>
          <w:sz w:val="21"/>
        </w:rPr>
        <w:t>欧专局</w:t>
      </w:r>
      <w:proofErr w:type="gramEnd"/>
      <w:r w:rsidR="009D49C6" w:rsidRPr="0063202F">
        <w:rPr>
          <w:rFonts w:ascii="SimSun" w:hAnsi="SimSun" w:hint="eastAsia"/>
          <w:sz w:val="21"/>
        </w:rPr>
        <w:t>作为工作队牵头人就SEQL工作队的讨论情况提供的信息，其中包括关于编写建议的工作计划。</w:t>
      </w:r>
      <w:r w:rsidR="005D2660" w:rsidRPr="0063202F">
        <w:rPr>
          <w:rFonts w:ascii="SimSun" w:hAnsi="SimSun"/>
          <w:sz w:val="21"/>
        </w:rPr>
        <w:t>(</w:t>
      </w:r>
      <w:r w:rsidR="009D49C6" w:rsidRPr="0063202F">
        <w:rPr>
          <w:rFonts w:ascii="SimSun" w:hAnsi="SimSun" w:hint="eastAsia"/>
          <w:sz w:val="21"/>
        </w:rPr>
        <w:t>见文件</w:t>
      </w:r>
      <w:r w:rsidR="0081012B" w:rsidRPr="0063202F">
        <w:rPr>
          <w:rFonts w:ascii="SimSun" w:hAnsi="SimSun"/>
          <w:sz w:val="21"/>
        </w:rPr>
        <w:t>CWS/2/5</w:t>
      </w:r>
      <w:r w:rsidR="009D49C6" w:rsidRPr="0063202F">
        <w:rPr>
          <w:rFonts w:ascii="SimSun" w:hAnsi="SimSun" w:hint="eastAsia"/>
          <w:sz w:val="21"/>
        </w:rPr>
        <w:t>和</w:t>
      </w:r>
      <w:r w:rsidR="0081012B" w:rsidRPr="0063202F">
        <w:rPr>
          <w:rFonts w:ascii="SimSun" w:hAnsi="SimSun"/>
          <w:sz w:val="21"/>
        </w:rPr>
        <w:t>CWS/3/6</w:t>
      </w:r>
      <w:r w:rsidR="009D49C6" w:rsidRPr="0063202F">
        <w:rPr>
          <w:rFonts w:ascii="SimSun" w:hAnsi="SimSun" w:hint="eastAsia"/>
          <w:sz w:val="21"/>
        </w:rPr>
        <w:t>。</w:t>
      </w:r>
      <w:r w:rsidR="005D2660" w:rsidRPr="0063202F">
        <w:rPr>
          <w:rFonts w:ascii="SimSun" w:hAnsi="SimSun"/>
          <w:sz w:val="21"/>
        </w:rPr>
        <w:t>)</w:t>
      </w:r>
    </w:p>
    <w:p w:rsidR="009225FD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9D49C6" w:rsidRPr="0063202F">
        <w:rPr>
          <w:rFonts w:ascii="SimSun" w:hAnsi="SimSun"/>
          <w:sz w:val="21"/>
        </w:rPr>
        <w:t>标准委员会</w:t>
      </w:r>
      <w:r w:rsidR="009D49C6" w:rsidRPr="0063202F">
        <w:rPr>
          <w:rFonts w:ascii="SimSun" w:hAnsi="SimSun" w:hint="eastAsia"/>
          <w:sz w:val="21"/>
        </w:rPr>
        <w:t>第三届会议之后，</w:t>
      </w:r>
      <w:r w:rsidR="00EB3B24" w:rsidRPr="0063202F">
        <w:rPr>
          <w:rFonts w:ascii="SimSun" w:hAnsi="SimSun"/>
          <w:sz w:val="21"/>
        </w:rPr>
        <w:t>SEQL</w:t>
      </w:r>
      <w:r w:rsidR="009D49C6" w:rsidRPr="0063202F">
        <w:rPr>
          <w:rFonts w:ascii="SimSun" w:hAnsi="SimSun" w:hint="eastAsia"/>
          <w:sz w:val="21"/>
        </w:rPr>
        <w:t>工作队继续在维基论坛上进行讨论。工作队牵头人就工作队所开展</w:t>
      </w:r>
      <w:r w:rsidR="00A63152">
        <w:rPr>
          <w:rFonts w:ascii="SimSun" w:hAnsi="SimSun" w:hint="eastAsia"/>
          <w:sz w:val="21"/>
        </w:rPr>
        <w:t>的</w:t>
      </w:r>
      <w:r w:rsidR="009D49C6" w:rsidRPr="0063202F">
        <w:rPr>
          <w:rFonts w:ascii="SimSun" w:hAnsi="SimSun" w:hint="eastAsia"/>
          <w:sz w:val="21"/>
        </w:rPr>
        <w:t>工作编拟的报告转录于本文件附件一。</w:t>
      </w:r>
    </w:p>
    <w:p w:rsidR="00CF4CAD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9D49C6" w:rsidRPr="0063202F">
        <w:rPr>
          <w:rFonts w:ascii="SimSun" w:hAnsi="SimSun" w:hint="eastAsia"/>
          <w:sz w:val="21"/>
        </w:rPr>
        <w:t>标准委员会提出上述要求之后，</w:t>
      </w:r>
      <w:r w:rsidR="00DD1F40" w:rsidRPr="0063202F">
        <w:rPr>
          <w:rFonts w:ascii="SimSun" w:hAnsi="SimSun"/>
          <w:sz w:val="21"/>
        </w:rPr>
        <w:t>SEQL</w:t>
      </w:r>
      <w:r w:rsidR="009D49C6" w:rsidRPr="0063202F">
        <w:rPr>
          <w:rFonts w:ascii="SimSun" w:hAnsi="SimSun"/>
          <w:sz w:val="21"/>
        </w:rPr>
        <w:t>工作队</w:t>
      </w:r>
      <w:r w:rsidR="009D49C6" w:rsidRPr="0063202F">
        <w:rPr>
          <w:rFonts w:ascii="SimSun" w:hAnsi="SimSun" w:hint="eastAsia"/>
          <w:sz w:val="21"/>
        </w:rPr>
        <w:t>编写了新标准的提案供</w:t>
      </w:r>
      <w:r w:rsidR="009D49C6" w:rsidRPr="0063202F">
        <w:rPr>
          <w:rFonts w:ascii="SimSun" w:hAnsi="SimSun"/>
          <w:sz w:val="21"/>
        </w:rPr>
        <w:t>标准委员会</w:t>
      </w:r>
      <w:r w:rsidR="009D49C6" w:rsidRPr="0063202F">
        <w:rPr>
          <w:rFonts w:ascii="SimSun" w:hAnsi="SimSun" w:hint="eastAsia"/>
          <w:sz w:val="21"/>
        </w:rPr>
        <w:t>审议和批准。新标准的暂拟名称是“</w:t>
      </w:r>
      <w:r w:rsidR="002012DF" w:rsidRPr="0063202F">
        <w:rPr>
          <w:rFonts w:ascii="SimSun" w:hAnsi="SimSun"/>
          <w:sz w:val="21"/>
        </w:rPr>
        <w:t>WIPO</w:t>
      </w:r>
      <w:r w:rsidR="009D49C6" w:rsidRPr="0063202F">
        <w:rPr>
          <w:rFonts w:ascii="SimSun" w:hAnsi="SimSun" w:hint="eastAsia"/>
          <w:sz w:val="21"/>
        </w:rPr>
        <w:t>标准</w:t>
      </w:r>
      <w:r w:rsidR="00852237" w:rsidRPr="0063202F">
        <w:rPr>
          <w:rFonts w:ascii="SimSun" w:hAnsi="SimSun"/>
          <w:sz w:val="21"/>
        </w:rPr>
        <w:t>ST.26–</w:t>
      </w:r>
      <w:r w:rsidR="009D49C6" w:rsidRPr="0063202F">
        <w:rPr>
          <w:rFonts w:ascii="SimSun" w:hAnsi="SimSun" w:hint="eastAsia"/>
          <w:sz w:val="21"/>
        </w:rPr>
        <w:t>关于用</w:t>
      </w:r>
      <w:r w:rsidR="003F60AE" w:rsidRPr="0063202F">
        <w:rPr>
          <w:rFonts w:ascii="SimSun" w:hAnsi="SimSun" w:hint="eastAsia"/>
          <w:sz w:val="21"/>
        </w:rPr>
        <w:t>XML(</w:t>
      </w:r>
      <w:r w:rsidR="009D49C6" w:rsidRPr="0063202F">
        <w:rPr>
          <w:rFonts w:ascii="SimSun" w:hAnsi="SimSun" w:hint="eastAsia"/>
          <w:sz w:val="21"/>
        </w:rPr>
        <w:t>可扩展标记语言)表示核苷酸和氨基酸序列表的</w:t>
      </w:r>
      <w:r w:rsidR="003F60AE" w:rsidRPr="0063202F">
        <w:rPr>
          <w:rFonts w:ascii="SimSun" w:hAnsi="SimSun" w:hint="eastAsia"/>
          <w:sz w:val="21"/>
        </w:rPr>
        <w:t>推荐</w:t>
      </w:r>
      <w:r w:rsidR="009D49C6" w:rsidRPr="0063202F">
        <w:rPr>
          <w:rFonts w:ascii="SimSun" w:hAnsi="SimSun" w:hint="eastAsia"/>
          <w:sz w:val="21"/>
        </w:rPr>
        <w:t>标准</w:t>
      </w:r>
      <w:r w:rsidR="003F60AE" w:rsidRPr="0063202F">
        <w:rPr>
          <w:rFonts w:ascii="SimSun" w:hAnsi="SimSun" w:hint="eastAsia"/>
          <w:sz w:val="21"/>
        </w:rPr>
        <w:t>”。新</w:t>
      </w:r>
      <w:r w:rsidR="00852237" w:rsidRPr="0063202F">
        <w:rPr>
          <w:rFonts w:ascii="SimSun" w:hAnsi="SimSun"/>
          <w:sz w:val="21"/>
        </w:rPr>
        <w:t>WIPO</w:t>
      </w:r>
      <w:r w:rsidR="003F60AE" w:rsidRPr="0063202F">
        <w:rPr>
          <w:rFonts w:ascii="SimSun" w:hAnsi="SimSun" w:hint="eastAsia"/>
          <w:sz w:val="21"/>
        </w:rPr>
        <w:t>标准</w:t>
      </w:r>
      <w:r w:rsidR="00852237" w:rsidRPr="0063202F">
        <w:rPr>
          <w:rFonts w:ascii="SimSun" w:hAnsi="SimSun"/>
          <w:sz w:val="21"/>
        </w:rPr>
        <w:t>ST.26</w:t>
      </w:r>
      <w:r w:rsidR="003F60AE" w:rsidRPr="0063202F">
        <w:rPr>
          <w:rFonts w:ascii="SimSun" w:hAnsi="SimSun" w:hint="eastAsia"/>
          <w:sz w:val="21"/>
        </w:rPr>
        <w:t>的草案包括正文和五个附件，转录于本文件附件二。</w:t>
      </w:r>
    </w:p>
    <w:p w:rsidR="00B31CB6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3F60AE" w:rsidRPr="0063202F">
        <w:rPr>
          <w:rFonts w:ascii="SimSun" w:hAnsi="SimSun"/>
          <w:sz w:val="21"/>
        </w:rPr>
        <w:t>标准委员会</w:t>
      </w:r>
      <w:r w:rsidR="003F60AE" w:rsidRPr="0063202F">
        <w:rPr>
          <w:rFonts w:ascii="SimSun" w:hAnsi="SimSun" w:hint="eastAsia"/>
          <w:sz w:val="21"/>
        </w:rPr>
        <w:t>还要求</w:t>
      </w:r>
      <w:r w:rsidR="00357A59" w:rsidRPr="0063202F">
        <w:rPr>
          <w:rFonts w:ascii="SimSun" w:hAnsi="SimSun"/>
          <w:sz w:val="21"/>
        </w:rPr>
        <w:t>SEQL</w:t>
      </w:r>
      <w:r w:rsidR="009D49C6" w:rsidRPr="0063202F">
        <w:rPr>
          <w:rFonts w:ascii="SimSun" w:hAnsi="SimSun"/>
          <w:sz w:val="21"/>
        </w:rPr>
        <w:t>工作队</w:t>
      </w:r>
      <w:r w:rsidR="003F60AE" w:rsidRPr="0063202F">
        <w:rPr>
          <w:rFonts w:ascii="SimSun" w:hAnsi="SimSun" w:hint="eastAsia"/>
          <w:sz w:val="21"/>
        </w:rPr>
        <w:t>就新标准</w:t>
      </w:r>
      <w:r w:rsidR="003F60AE" w:rsidRPr="0063202F">
        <w:rPr>
          <w:rFonts w:ascii="SimSun" w:hAnsi="SimSun"/>
          <w:sz w:val="21"/>
        </w:rPr>
        <w:t>ST.26</w:t>
      </w:r>
      <w:r w:rsidR="003F60AE" w:rsidRPr="0063202F">
        <w:rPr>
          <w:rFonts w:ascii="SimSun" w:hAnsi="SimSun" w:hint="eastAsia"/>
          <w:sz w:val="21"/>
        </w:rPr>
        <w:t>对《PCT行政规程》附件C可能产生的影响与PCT相关机构进行联络</w:t>
      </w:r>
      <w:r w:rsidR="00357A59" w:rsidRPr="0063202F">
        <w:rPr>
          <w:rFonts w:ascii="SimSun" w:hAnsi="SimSun"/>
          <w:sz w:val="21"/>
        </w:rPr>
        <w:t>(</w:t>
      </w:r>
      <w:r w:rsidR="003F60AE" w:rsidRPr="0063202F">
        <w:rPr>
          <w:rFonts w:ascii="SimSun" w:hAnsi="SimSun" w:hint="eastAsia"/>
          <w:sz w:val="21"/>
        </w:rPr>
        <w:t>见文件</w:t>
      </w:r>
      <w:r w:rsidR="00357A59" w:rsidRPr="0063202F">
        <w:rPr>
          <w:rFonts w:ascii="SimSun" w:hAnsi="SimSun"/>
          <w:sz w:val="21"/>
        </w:rPr>
        <w:t>CWS/1/10</w:t>
      </w:r>
      <w:r w:rsidR="003F60AE" w:rsidRPr="0063202F">
        <w:rPr>
          <w:rFonts w:ascii="SimSun" w:hAnsi="SimSun" w:hint="eastAsia"/>
          <w:sz w:val="21"/>
        </w:rPr>
        <w:t>第</w:t>
      </w:r>
      <w:r w:rsidR="003F60AE" w:rsidRPr="0063202F">
        <w:rPr>
          <w:rFonts w:ascii="SimSun" w:hAnsi="SimSun"/>
          <w:sz w:val="21"/>
        </w:rPr>
        <w:t>29</w:t>
      </w:r>
      <w:r w:rsidR="003F60AE" w:rsidRPr="0063202F">
        <w:rPr>
          <w:rFonts w:ascii="SimSun" w:hAnsi="SimSun" w:hint="eastAsia"/>
          <w:sz w:val="21"/>
        </w:rPr>
        <w:t>段</w:t>
      </w:r>
      <w:r w:rsidR="003F60AE" w:rsidRPr="0063202F">
        <w:rPr>
          <w:rFonts w:ascii="SimSun" w:hAnsi="SimSun"/>
          <w:sz w:val="21"/>
        </w:rPr>
        <w:t>(c)</w:t>
      </w:r>
      <w:r w:rsidR="003F60AE" w:rsidRPr="0063202F">
        <w:rPr>
          <w:rFonts w:ascii="SimSun" w:hAnsi="SimSun" w:hint="eastAsia"/>
          <w:sz w:val="21"/>
        </w:rPr>
        <w:t>项</w:t>
      </w:r>
      <w:r w:rsidR="00357A59" w:rsidRPr="0063202F">
        <w:rPr>
          <w:rFonts w:ascii="SimSun" w:hAnsi="SimSun"/>
          <w:sz w:val="21"/>
        </w:rPr>
        <w:t>)</w:t>
      </w:r>
      <w:r w:rsidR="003F60AE" w:rsidRPr="0063202F">
        <w:rPr>
          <w:rFonts w:ascii="SimSun" w:hAnsi="SimSun" w:hint="eastAsia"/>
          <w:sz w:val="21"/>
        </w:rPr>
        <w:t>。从</w:t>
      </w:r>
      <w:r w:rsidR="00F23036" w:rsidRPr="0063202F">
        <w:rPr>
          <w:rFonts w:ascii="SimSun" w:hAnsi="SimSun"/>
          <w:sz w:val="21"/>
        </w:rPr>
        <w:t>WIPO</w:t>
      </w:r>
      <w:r w:rsidR="003F60AE" w:rsidRPr="0063202F">
        <w:rPr>
          <w:rFonts w:ascii="SimSun" w:hAnsi="SimSun" w:hint="eastAsia"/>
          <w:sz w:val="21"/>
        </w:rPr>
        <w:t>标准</w:t>
      </w:r>
      <w:r w:rsidR="00F23036" w:rsidRPr="0063202F">
        <w:rPr>
          <w:rFonts w:ascii="SimSun" w:hAnsi="SimSun"/>
          <w:sz w:val="21"/>
        </w:rPr>
        <w:t>ST.25</w:t>
      </w:r>
      <w:r w:rsidR="00A63152">
        <w:rPr>
          <w:rFonts w:ascii="SimSun" w:hAnsi="SimSun" w:hint="eastAsia"/>
          <w:sz w:val="21"/>
        </w:rPr>
        <w:t>过渡到</w:t>
      </w:r>
      <w:r w:rsidR="003F60AE" w:rsidRPr="0063202F">
        <w:rPr>
          <w:rFonts w:ascii="SimSun" w:hAnsi="SimSun" w:hint="eastAsia"/>
          <w:sz w:val="21"/>
        </w:rPr>
        <w:t>新</w:t>
      </w:r>
      <w:r w:rsidR="00852237" w:rsidRPr="0063202F">
        <w:rPr>
          <w:rFonts w:ascii="SimSun" w:hAnsi="SimSun"/>
          <w:sz w:val="21"/>
        </w:rPr>
        <w:t>WIPO</w:t>
      </w:r>
      <w:r w:rsidR="003F60AE" w:rsidRPr="0063202F">
        <w:rPr>
          <w:rFonts w:ascii="SimSun" w:hAnsi="SimSun" w:hint="eastAsia"/>
          <w:sz w:val="21"/>
        </w:rPr>
        <w:t>标准</w:t>
      </w:r>
      <w:r w:rsidR="00852237" w:rsidRPr="0063202F">
        <w:rPr>
          <w:rFonts w:ascii="SimSun" w:hAnsi="SimSun"/>
          <w:sz w:val="21"/>
        </w:rPr>
        <w:t>ST.26</w:t>
      </w:r>
      <w:r w:rsidR="003F60AE" w:rsidRPr="0063202F">
        <w:rPr>
          <w:rFonts w:ascii="SimSun" w:hAnsi="SimSun" w:hint="eastAsia"/>
          <w:sz w:val="21"/>
        </w:rPr>
        <w:t>的规定正在由</w:t>
      </w:r>
      <w:r w:rsidR="009D49C6" w:rsidRPr="0063202F">
        <w:rPr>
          <w:rFonts w:ascii="SimSun" w:hAnsi="SimSun"/>
          <w:sz w:val="21"/>
        </w:rPr>
        <w:t>工作队</w:t>
      </w:r>
      <w:r w:rsidR="003F60AE" w:rsidRPr="0063202F">
        <w:rPr>
          <w:rFonts w:ascii="SimSun" w:hAnsi="SimSun" w:hint="eastAsia"/>
          <w:sz w:val="21"/>
        </w:rPr>
        <w:t>成员讨论</w:t>
      </w:r>
      <w:r w:rsidR="00A63152">
        <w:rPr>
          <w:rFonts w:ascii="SimSun" w:hAnsi="SimSun" w:hint="eastAsia"/>
          <w:sz w:val="21"/>
        </w:rPr>
        <w:t>，</w:t>
      </w:r>
      <w:r w:rsidR="003F60AE" w:rsidRPr="0063202F">
        <w:rPr>
          <w:rFonts w:ascii="SimSun" w:hAnsi="SimSun" w:hint="eastAsia"/>
          <w:sz w:val="21"/>
        </w:rPr>
        <w:t>计划在将于2015年举行的下届会议上提交</w:t>
      </w:r>
      <w:r w:rsidR="009D49C6" w:rsidRPr="0063202F">
        <w:rPr>
          <w:rFonts w:ascii="SimSun" w:hAnsi="SimSun"/>
          <w:sz w:val="21"/>
        </w:rPr>
        <w:t>标准委员会</w:t>
      </w:r>
      <w:r w:rsidR="003F60AE" w:rsidRPr="0063202F">
        <w:rPr>
          <w:rFonts w:ascii="SimSun" w:hAnsi="SimSun" w:hint="eastAsia"/>
          <w:sz w:val="21"/>
        </w:rPr>
        <w:t>审议</w:t>
      </w:r>
      <w:r w:rsidR="00F41722" w:rsidRPr="0063202F">
        <w:rPr>
          <w:rFonts w:ascii="SimSun" w:hAnsi="SimSun"/>
          <w:sz w:val="21"/>
        </w:rPr>
        <w:t>(</w:t>
      </w:r>
      <w:r w:rsidR="003F60AE" w:rsidRPr="0063202F">
        <w:rPr>
          <w:rFonts w:ascii="SimSun" w:hAnsi="SimSun" w:hint="eastAsia"/>
          <w:sz w:val="21"/>
        </w:rPr>
        <w:t>见本文件附件一第</w:t>
      </w:r>
      <w:r w:rsidR="00F41722" w:rsidRPr="0063202F">
        <w:rPr>
          <w:rFonts w:ascii="SimSun" w:hAnsi="SimSun"/>
          <w:sz w:val="21"/>
        </w:rPr>
        <w:t>10</w:t>
      </w:r>
      <w:r w:rsidR="003F60AE" w:rsidRPr="0063202F">
        <w:rPr>
          <w:rFonts w:ascii="SimSun" w:hAnsi="SimSun" w:hint="eastAsia"/>
          <w:sz w:val="21"/>
        </w:rPr>
        <w:t>段“路线图”</w:t>
      </w:r>
      <w:r w:rsidR="00F41722" w:rsidRPr="0063202F">
        <w:rPr>
          <w:rFonts w:ascii="SimSun" w:hAnsi="SimSun"/>
          <w:sz w:val="21"/>
        </w:rPr>
        <w:t>)</w:t>
      </w:r>
      <w:r w:rsidR="003F60AE" w:rsidRPr="0063202F">
        <w:rPr>
          <w:rFonts w:ascii="SimSun" w:hAnsi="SimSun" w:hint="eastAsia"/>
          <w:sz w:val="21"/>
        </w:rPr>
        <w:t>。</w:t>
      </w:r>
    </w:p>
    <w:bookmarkStart w:id="2" w:name="_GoBack"/>
    <w:bookmarkEnd w:id="2"/>
    <w:p w:rsidR="005560D1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lastRenderedPageBreak/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3F60AE" w:rsidRPr="0063202F">
        <w:rPr>
          <w:rFonts w:ascii="SimSun" w:hAnsi="SimSun" w:hint="eastAsia"/>
          <w:sz w:val="21"/>
        </w:rPr>
        <w:t>请各工业产权局推迟</w:t>
      </w:r>
      <w:r w:rsidR="003F60AE" w:rsidRPr="0063202F">
        <w:rPr>
          <w:rFonts w:ascii="SimSun" w:hAnsi="SimSun"/>
          <w:sz w:val="21"/>
        </w:rPr>
        <w:t>WIPO</w:t>
      </w:r>
      <w:r w:rsidR="005560D1" w:rsidRPr="0063202F">
        <w:rPr>
          <w:rFonts w:ascii="SimSun" w:hAnsi="SimSun" w:hint="eastAsia"/>
          <w:sz w:val="21"/>
        </w:rPr>
        <w:t>标准</w:t>
      </w:r>
      <w:r w:rsidR="003F60AE" w:rsidRPr="0063202F">
        <w:rPr>
          <w:rFonts w:ascii="SimSun" w:hAnsi="SimSun"/>
          <w:sz w:val="21"/>
        </w:rPr>
        <w:t>ST.26</w:t>
      </w:r>
      <w:r w:rsidR="005560D1" w:rsidRPr="0063202F">
        <w:rPr>
          <w:rFonts w:ascii="SimSun" w:hAnsi="SimSun" w:hint="eastAsia"/>
          <w:sz w:val="21"/>
        </w:rPr>
        <w:t>的</w:t>
      </w:r>
      <w:r w:rsidR="00A63152" w:rsidRPr="0063202F">
        <w:rPr>
          <w:rFonts w:ascii="SimSun" w:hAnsi="SimSun" w:hint="eastAsia"/>
          <w:sz w:val="21"/>
        </w:rPr>
        <w:t>实施</w:t>
      </w:r>
      <w:r w:rsidR="005560D1" w:rsidRPr="0063202F">
        <w:rPr>
          <w:rFonts w:ascii="SimSun" w:hAnsi="SimSun" w:hint="eastAsia"/>
          <w:sz w:val="21"/>
        </w:rPr>
        <w:t>准备</w:t>
      </w:r>
      <w:r w:rsidR="00A63152">
        <w:rPr>
          <w:rFonts w:ascii="SimSun" w:hAnsi="SimSun" w:hint="eastAsia"/>
          <w:sz w:val="21"/>
        </w:rPr>
        <w:t>工作</w:t>
      </w:r>
      <w:r w:rsidR="005560D1" w:rsidRPr="0063202F">
        <w:rPr>
          <w:rFonts w:ascii="SimSun" w:hAnsi="SimSun" w:hint="eastAsia"/>
          <w:sz w:val="21"/>
        </w:rPr>
        <w:t>，直到上述过渡规定得到</w:t>
      </w:r>
      <w:r w:rsidR="009D49C6" w:rsidRPr="0063202F">
        <w:rPr>
          <w:rFonts w:ascii="SimSun" w:hAnsi="SimSun"/>
          <w:sz w:val="21"/>
        </w:rPr>
        <w:t>标准委员会</w:t>
      </w:r>
      <w:r w:rsidR="005560D1" w:rsidRPr="0063202F">
        <w:rPr>
          <w:rFonts w:ascii="SimSun" w:hAnsi="SimSun" w:hint="eastAsia"/>
          <w:sz w:val="21"/>
        </w:rPr>
        <w:t>的批准。在此之前应当继续使用标准</w:t>
      </w:r>
      <w:r w:rsidR="006C3149" w:rsidRPr="0063202F">
        <w:rPr>
          <w:rFonts w:ascii="SimSun" w:hAnsi="SimSun"/>
          <w:sz w:val="21"/>
        </w:rPr>
        <w:t>ST.25</w:t>
      </w:r>
      <w:r w:rsidR="005560D1" w:rsidRPr="0063202F">
        <w:rPr>
          <w:rFonts w:ascii="SimSun" w:hAnsi="SimSun" w:hint="eastAsia"/>
          <w:sz w:val="21"/>
        </w:rPr>
        <w:t>。有鉴于此，工作队建议，如果新标准在</w:t>
      </w:r>
      <w:r w:rsidR="005560D1" w:rsidRPr="0063202F">
        <w:rPr>
          <w:rFonts w:ascii="SimSun" w:hAnsi="SimSun"/>
          <w:sz w:val="21"/>
        </w:rPr>
        <w:t>标准委员会</w:t>
      </w:r>
      <w:r w:rsidR="005560D1" w:rsidRPr="0063202F">
        <w:rPr>
          <w:rFonts w:ascii="SimSun" w:hAnsi="SimSun" w:hint="eastAsia"/>
          <w:sz w:val="21"/>
        </w:rPr>
        <w:t>本届(第四届)会议上得到批准，</w:t>
      </w:r>
      <w:r w:rsidR="00A63152">
        <w:rPr>
          <w:rFonts w:ascii="SimSun" w:hAnsi="SimSun" w:hint="eastAsia"/>
          <w:sz w:val="21"/>
        </w:rPr>
        <w:t>应</w:t>
      </w:r>
      <w:r w:rsidR="005560D1" w:rsidRPr="0063202F">
        <w:rPr>
          <w:rFonts w:ascii="SimSun" w:hAnsi="SimSun" w:hint="eastAsia"/>
          <w:sz w:val="21"/>
        </w:rPr>
        <w:t>在新标准中</w:t>
      </w:r>
      <w:r w:rsidR="0063202F" w:rsidRPr="0063202F">
        <w:rPr>
          <w:rFonts w:ascii="SimSun" w:hAnsi="SimSun" w:hint="eastAsia"/>
          <w:sz w:val="21"/>
        </w:rPr>
        <w:t>写入</w:t>
      </w:r>
      <w:r w:rsidR="005560D1" w:rsidRPr="0063202F">
        <w:rPr>
          <w:rFonts w:ascii="SimSun" w:hAnsi="SimSun" w:hint="eastAsia"/>
          <w:sz w:val="21"/>
        </w:rPr>
        <w:t>下列编者按：</w:t>
      </w:r>
    </w:p>
    <w:p w:rsidR="00C6636E" w:rsidRPr="0063202F" w:rsidRDefault="005560D1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 w:rsidRPr="0063202F">
        <w:rPr>
          <w:rFonts w:ascii="SimSun" w:hAnsi="SimSun" w:hint="eastAsia"/>
          <w:sz w:val="21"/>
        </w:rPr>
        <w:t>“</w:t>
      </w:r>
      <w:r w:rsidRPr="0063202F">
        <w:rPr>
          <w:rFonts w:ascii="KaiTi" w:eastAsia="KaiTi" w:hAnsi="KaiTi" w:hint="eastAsia"/>
          <w:i/>
          <w:sz w:val="21"/>
        </w:rPr>
        <w:t>国际局的编者按</w:t>
      </w:r>
    </w:p>
    <w:p w:rsidR="00C6636E" w:rsidRPr="0063202F" w:rsidRDefault="005560D1" w:rsidP="0063202F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63202F">
        <w:rPr>
          <w:rFonts w:ascii="SimSun" w:hAnsi="SimSun" w:hint="eastAsia"/>
          <w:sz w:val="21"/>
        </w:rPr>
        <w:t>“</w:t>
      </w:r>
      <w:r w:rsidRPr="0063202F">
        <w:rPr>
          <w:rFonts w:ascii="SimSun" w:hAnsi="SimSun"/>
          <w:sz w:val="21"/>
        </w:rPr>
        <w:t>标准委员会</w:t>
      </w:r>
      <w:r w:rsidRPr="0063202F">
        <w:rPr>
          <w:rFonts w:ascii="SimSun" w:hAnsi="SimSun" w:hint="eastAsia"/>
          <w:sz w:val="21"/>
        </w:rPr>
        <w:t>商定，请各工业产权局推迟</w:t>
      </w:r>
      <w:r w:rsidR="00A63152">
        <w:rPr>
          <w:rFonts w:ascii="SimSun" w:hAnsi="SimSun" w:hint="eastAsia"/>
          <w:sz w:val="21"/>
        </w:rPr>
        <w:t>本</w:t>
      </w:r>
      <w:r w:rsidRPr="0063202F">
        <w:rPr>
          <w:rFonts w:ascii="SimSun" w:hAnsi="SimSun" w:hint="eastAsia"/>
          <w:sz w:val="21"/>
        </w:rPr>
        <w:t>新</w:t>
      </w:r>
      <w:r w:rsidRPr="0063202F">
        <w:rPr>
          <w:rFonts w:ascii="SimSun" w:hAnsi="SimSun"/>
          <w:sz w:val="21"/>
        </w:rPr>
        <w:t>WIPO</w:t>
      </w:r>
      <w:r w:rsidRPr="0063202F">
        <w:rPr>
          <w:rFonts w:ascii="SimSun" w:hAnsi="SimSun" w:hint="eastAsia"/>
          <w:sz w:val="21"/>
        </w:rPr>
        <w:t>标准</w:t>
      </w:r>
      <w:r w:rsidRPr="0063202F">
        <w:rPr>
          <w:rFonts w:ascii="SimSun" w:hAnsi="SimSun"/>
          <w:sz w:val="21"/>
        </w:rPr>
        <w:t>ST.26</w:t>
      </w:r>
      <w:r w:rsidRPr="0063202F">
        <w:rPr>
          <w:rFonts w:ascii="SimSun" w:hAnsi="SimSun" w:hint="eastAsia"/>
          <w:sz w:val="21"/>
        </w:rPr>
        <w:t>的</w:t>
      </w:r>
      <w:r w:rsidR="00A63152" w:rsidRPr="0063202F">
        <w:rPr>
          <w:rFonts w:ascii="SimSun" w:hAnsi="SimSun" w:hint="eastAsia"/>
          <w:sz w:val="21"/>
        </w:rPr>
        <w:t>实施</w:t>
      </w:r>
      <w:r w:rsidRPr="0063202F">
        <w:rPr>
          <w:rFonts w:ascii="SimSun" w:hAnsi="SimSun" w:hint="eastAsia"/>
          <w:sz w:val="21"/>
        </w:rPr>
        <w:t>准备</w:t>
      </w:r>
      <w:r w:rsidR="00A63152">
        <w:rPr>
          <w:rFonts w:ascii="SimSun" w:hAnsi="SimSun" w:hint="eastAsia"/>
          <w:sz w:val="21"/>
        </w:rPr>
        <w:t>工作</w:t>
      </w:r>
      <w:r w:rsidRPr="0063202F">
        <w:rPr>
          <w:rFonts w:ascii="SimSun" w:hAnsi="SimSun" w:hint="eastAsia"/>
          <w:sz w:val="21"/>
        </w:rPr>
        <w:t>，直到关于从</w:t>
      </w:r>
      <w:r w:rsidRPr="0063202F">
        <w:rPr>
          <w:rFonts w:ascii="SimSun" w:hAnsi="SimSun"/>
          <w:sz w:val="21"/>
        </w:rPr>
        <w:t>WIPO</w:t>
      </w:r>
      <w:r w:rsidRPr="0063202F">
        <w:rPr>
          <w:rFonts w:ascii="SimSun" w:hAnsi="SimSun" w:hint="eastAsia"/>
          <w:sz w:val="21"/>
        </w:rPr>
        <w:t>标准</w:t>
      </w:r>
      <w:r w:rsidRPr="0063202F">
        <w:rPr>
          <w:rFonts w:ascii="SimSun" w:hAnsi="SimSun"/>
          <w:sz w:val="21"/>
        </w:rPr>
        <w:t>ST.25</w:t>
      </w:r>
      <w:r w:rsidRPr="0063202F">
        <w:rPr>
          <w:rFonts w:ascii="SimSun" w:hAnsi="SimSun" w:hint="eastAsia"/>
          <w:sz w:val="21"/>
        </w:rPr>
        <w:t>向新</w:t>
      </w:r>
      <w:r w:rsidRPr="0063202F">
        <w:rPr>
          <w:rFonts w:ascii="SimSun" w:hAnsi="SimSun"/>
          <w:sz w:val="21"/>
        </w:rPr>
        <w:t>WIPO</w:t>
      </w:r>
      <w:r w:rsidRPr="0063202F">
        <w:rPr>
          <w:rFonts w:ascii="SimSun" w:hAnsi="SimSun" w:hint="eastAsia"/>
          <w:sz w:val="21"/>
        </w:rPr>
        <w:t>标准</w:t>
      </w:r>
      <w:r w:rsidRPr="0063202F">
        <w:rPr>
          <w:rFonts w:ascii="SimSun" w:hAnsi="SimSun"/>
          <w:sz w:val="21"/>
        </w:rPr>
        <w:t>ST.26</w:t>
      </w:r>
      <w:r w:rsidRPr="0063202F">
        <w:rPr>
          <w:rFonts w:ascii="SimSun" w:hAnsi="SimSun" w:hint="eastAsia"/>
          <w:sz w:val="21"/>
        </w:rPr>
        <w:t>过渡的建议在将于2015年举行的第五届会议上得到</w:t>
      </w:r>
      <w:r w:rsidRPr="0063202F">
        <w:rPr>
          <w:rFonts w:ascii="SimSun" w:hAnsi="SimSun"/>
          <w:sz w:val="21"/>
        </w:rPr>
        <w:t>标准委员会</w:t>
      </w:r>
      <w:r w:rsidRPr="0063202F">
        <w:rPr>
          <w:rFonts w:ascii="SimSun" w:hAnsi="SimSun" w:hint="eastAsia"/>
          <w:sz w:val="21"/>
        </w:rPr>
        <w:t>的同意。在此之前，应当继续使用标准</w:t>
      </w:r>
      <w:r w:rsidRPr="0063202F">
        <w:rPr>
          <w:rFonts w:ascii="SimSun" w:hAnsi="SimSun"/>
          <w:sz w:val="21"/>
        </w:rPr>
        <w:t>ST.25</w:t>
      </w:r>
      <w:r w:rsidRPr="0063202F">
        <w:rPr>
          <w:rFonts w:ascii="SimSun" w:hAnsi="SimSun" w:hint="eastAsia"/>
          <w:sz w:val="21"/>
        </w:rPr>
        <w:t>。</w:t>
      </w:r>
    </w:p>
    <w:p w:rsidR="00C6636E" w:rsidRPr="0063202F" w:rsidRDefault="005560D1" w:rsidP="0063202F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63202F">
        <w:rPr>
          <w:rFonts w:ascii="SimSun" w:hAnsi="SimSun" w:hint="eastAsia"/>
          <w:sz w:val="21"/>
        </w:rPr>
        <w:t>“发布本标准是为了供各工业产权局和其他有关各方参考。</w:t>
      </w:r>
    </w:p>
    <w:p w:rsidR="006C3149" w:rsidRPr="0063202F" w:rsidRDefault="005560D1" w:rsidP="0063202F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63202F">
        <w:rPr>
          <w:rFonts w:ascii="SimSun" w:hAnsi="SimSun" w:hint="eastAsia"/>
          <w:sz w:val="21"/>
        </w:rPr>
        <w:t>“</w:t>
      </w:r>
      <w:r w:rsidR="0063202F" w:rsidRPr="0063202F">
        <w:rPr>
          <w:rFonts w:ascii="SimSun" w:hAnsi="SimSun" w:hint="eastAsia"/>
          <w:sz w:val="21"/>
        </w:rPr>
        <w:t>[2014年5月16日]，</w:t>
      </w:r>
      <w:r w:rsidRPr="0063202F">
        <w:rPr>
          <w:rFonts w:ascii="SimSun" w:hAnsi="SimSun" w:hint="eastAsia"/>
          <w:sz w:val="21"/>
        </w:rPr>
        <w:t>WIPO标准委员会</w:t>
      </w:r>
      <w:r w:rsidR="009C2146">
        <w:rPr>
          <w:rFonts w:ascii="SimSun" w:hAnsi="SimSun" w:hint="eastAsia"/>
          <w:sz w:val="21"/>
        </w:rPr>
        <w:t>(</w:t>
      </w:r>
      <w:r w:rsidRPr="0063202F">
        <w:rPr>
          <w:rFonts w:ascii="SimSun" w:hAnsi="SimSun" w:hint="eastAsia"/>
          <w:sz w:val="21"/>
        </w:rPr>
        <w:t>标准委员会</w:t>
      </w:r>
      <w:r w:rsidR="009C2146">
        <w:rPr>
          <w:rFonts w:ascii="SimSun" w:hAnsi="SimSun" w:hint="eastAsia"/>
          <w:sz w:val="21"/>
        </w:rPr>
        <w:t>)</w:t>
      </w:r>
      <w:r w:rsidR="0063202F" w:rsidRPr="0063202F">
        <w:rPr>
          <w:rFonts w:ascii="SimSun" w:hAnsi="SimSun" w:hint="eastAsia"/>
          <w:sz w:val="21"/>
        </w:rPr>
        <w:t>在[第四届会议上]通过了本标准。”</w:t>
      </w:r>
    </w:p>
    <w:p w:rsidR="00C3354B" w:rsidRPr="0063202F" w:rsidRDefault="009C2146" w:rsidP="009C2146">
      <w:pPr>
        <w:pStyle w:val="ONUME"/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9C2146">
        <w:rPr>
          <w:rFonts w:ascii="KaiTi" w:eastAsia="KaiTi" w:hAnsi="KaiTi"/>
          <w:i/>
          <w:sz w:val="21"/>
        </w:rPr>
        <w:fldChar w:fldCharType="begin"/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 w:hint="eastAsia"/>
          <w:i/>
          <w:sz w:val="21"/>
        </w:rPr>
        <w:instrText xml:space="preserve">AUTONUM </w:instrText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/>
          <w:i/>
          <w:sz w:val="21"/>
        </w:rPr>
        <w:fldChar w:fldCharType="end"/>
      </w:r>
      <w:r w:rsidRPr="009C2146">
        <w:rPr>
          <w:rFonts w:ascii="KaiTi" w:eastAsia="KaiTi" w:hAnsi="KaiTi" w:hint="eastAsia"/>
          <w:i/>
          <w:sz w:val="21"/>
        </w:rPr>
        <w:t>.</w:t>
      </w:r>
      <w:r>
        <w:rPr>
          <w:rFonts w:ascii="SimSun" w:hAnsi="SimSun"/>
          <w:sz w:val="21"/>
        </w:rPr>
        <w:tab/>
      </w:r>
      <w:proofErr w:type="gramStart"/>
      <w:r w:rsidR="0063202F" w:rsidRPr="0063202F">
        <w:rPr>
          <w:rFonts w:ascii="KaiTi" w:eastAsia="KaiTi" w:hAnsi="KaiTi" w:hint="eastAsia"/>
          <w:i/>
          <w:sz w:val="21"/>
        </w:rPr>
        <w:t>请</w:t>
      </w:r>
      <w:r w:rsidR="009D49C6" w:rsidRPr="0063202F">
        <w:rPr>
          <w:rFonts w:ascii="KaiTi" w:eastAsia="KaiTi" w:hAnsi="KaiTi"/>
          <w:i/>
          <w:sz w:val="21"/>
        </w:rPr>
        <w:t>标准</w:t>
      </w:r>
      <w:proofErr w:type="gramEnd"/>
      <w:r w:rsidR="009D49C6" w:rsidRPr="0063202F">
        <w:rPr>
          <w:rFonts w:ascii="KaiTi" w:eastAsia="KaiTi" w:hAnsi="KaiTi"/>
          <w:i/>
          <w:sz w:val="21"/>
        </w:rPr>
        <w:t>委员会</w:t>
      </w:r>
      <w:r w:rsidR="0063202F" w:rsidRPr="0063202F">
        <w:rPr>
          <w:rFonts w:ascii="KaiTi" w:eastAsia="KaiTi" w:hAnsi="KaiTi" w:hint="eastAsia"/>
          <w:i/>
          <w:sz w:val="21"/>
        </w:rPr>
        <w:t>：</w:t>
      </w:r>
    </w:p>
    <w:p w:rsidR="00C3354B" w:rsidRPr="0063202F" w:rsidRDefault="00C3354B" w:rsidP="009C2146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(a)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注意本文件附件一中提供的关于SEQL工作队工作的现状报告；</w:t>
      </w:r>
    </w:p>
    <w:p w:rsidR="00852237" w:rsidRPr="0063202F" w:rsidRDefault="00C3354B" w:rsidP="009C2146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(b)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通过“WIPO标准ST.26–关于用XML(可扩展标记语言)表示核苷酸和氨基酸序列表的推荐标准”作为拟议标准的名称；</w:t>
      </w:r>
    </w:p>
    <w:p w:rsidR="00C3354B" w:rsidRPr="0063202F" w:rsidRDefault="00852237" w:rsidP="009C2146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(c)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审议并通过本文件附件二中转录的</w:t>
      </w:r>
      <w:r w:rsidR="00C3354B" w:rsidRPr="0063202F">
        <w:rPr>
          <w:rFonts w:ascii="KaiTi" w:eastAsia="KaiTi" w:hAnsi="KaiTi"/>
          <w:i/>
          <w:sz w:val="21"/>
        </w:rPr>
        <w:t>WIPO</w:t>
      </w:r>
      <w:r w:rsidR="0063202F" w:rsidRPr="0063202F">
        <w:rPr>
          <w:rFonts w:ascii="KaiTi" w:eastAsia="KaiTi" w:hAnsi="KaiTi" w:hint="eastAsia"/>
          <w:i/>
          <w:sz w:val="21"/>
        </w:rPr>
        <w:t>标准</w:t>
      </w:r>
      <w:r w:rsidR="00C3354B" w:rsidRPr="0063202F">
        <w:rPr>
          <w:rFonts w:ascii="KaiTi" w:eastAsia="KaiTi" w:hAnsi="KaiTi"/>
          <w:i/>
          <w:sz w:val="21"/>
        </w:rPr>
        <w:t>ST.26</w:t>
      </w:r>
      <w:r w:rsidR="0063202F" w:rsidRPr="0063202F">
        <w:rPr>
          <w:rFonts w:ascii="KaiTi" w:eastAsia="KaiTi" w:hAnsi="KaiTi" w:hint="eastAsia"/>
          <w:i/>
          <w:sz w:val="21"/>
        </w:rPr>
        <w:t>；</w:t>
      </w:r>
    </w:p>
    <w:p w:rsidR="00C3354B" w:rsidRPr="0063202F" w:rsidRDefault="00C3354B" w:rsidP="009C2146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</w:t>
      </w:r>
      <w:r w:rsidR="00852237" w:rsidRPr="0063202F">
        <w:rPr>
          <w:rFonts w:ascii="KaiTi" w:eastAsia="KaiTi" w:hAnsi="KaiTi"/>
          <w:i/>
          <w:sz w:val="21"/>
        </w:rPr>
        <w:t>d</w:t>
      </w:r>
      <w:r w:rsidRPr="0063202F">
        <w:rPr>
          <w:rFonts w:ascii="KaiTi" w:eastAsia="KaiTi" w:hAnsi="KaiTi"/>
          <w:i/>
          <w:sz w:val="21"/>
        </w:rPr>
        <w:t>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审议并批准将写入</w:t>
      </w:r>
      <w:r w:rsidRPr="0063202F">
        <w:rPr>
          <w:rFonts w:ascii="KaiTi" w:eastAsia="KaiTi" w:hAnsi="KaiTi"/>
          <w:i/>
          <w:sz w:val="21"/>
        </w:rPr>
        <w:t>WIPO</w:t>
      </w:r>
      <w:r w:rsidR="0063202F" w:rsidRPr="0063202F">
        <w:rPr>
          <w:rFonts w:ascii="KaiTi" w:eastAsia="KaiTi" w:hAnsi="KaiTi" w:hint="eastAsia"/>
          <w:i/>
          <w:sz w:val="21"/>
        </w:rPr>
        <w:t>标准</w:t>
      </w:r>
      <w:r w:rsidRPr="0063202F">
        <w:rPr>
          <w:rFonts w:ascii="KaiTi" w:eastAsia="KaiTi" w:hAnsi="KaiTi"/>
          <w:i/>
          <w:sz w:val="21"/>
        </w:rPr>
        <w:t>ST.26</w:t>
      </w:r>
      <w:r w:rsidR="0063202F" w:rsidRPr="0063202F">
        <w:rPr>
          <w:rFonts w:ascii="KaiTi" w:eastAsia="KaiTi" w:hAnsi="KaiTi" w:hint="eastAsia"/>
          <w:i/>
          <w:sz w:val="21"/>
        </w:rPr>
        <w:t>的编者按</w:t>
      </w:r>
      <w:r w:rsidRPr="0063202F">
        <w:rPr>
          <w:rFonts w:ascii="KaiTi" w:eastAsia="KaiTi" w:hAnsi="KaiTi"/>
          <w:i/>
          <w:sz w:val="21"/>
        </w:rPr>
        <w:t>(</w:t>
      </w:r>
      <w:r w:rsidR="0063202F" w:rsidRPr="0063202F">
        <w:rPr>
          <w:rFonts w:ascii="KaiTi" w:eastAsia="KaiTi" w:hAnsi="KaiTi" w:hint="eastAsia"/>
          <w:i/>
          <w:sz w:val="21"/>
        </w:rPr>
        <w:t>见上文第</w:t>
      </w:r>
      <w:r w:rsidR="00286369" w:rsidRPr="0063202F">
        <w:rPr>
          <w:rFonts w:ascii="KaiTi" w:eastAsia="KaiTi" w:hAnsi="KaiTi"/>
          <w:i/>
          <w:sz w:val="21"/>
        </w:rPr>
        <w:t>6</w:t>
      </w:r>
      <w:r w:rsidR="0063202F" w:rsidRPr="0063202F">
        <w:rPr>
          <w:rFonts w:ascii="KaiTi" w:eastAsia="KaiTi" w:hAnsi="KaiTi" w:hint="eastAsia"/>
          <w:i/>
          <w:sz w:val="21"/>
        </w:rPr>
        <w:t>段</w:t>
      </w:r>
      <w:r w:rsidRPr="0063202F">
        <w:rPr>
          <w:rFonts w:ascii="KaiTi" w:eastAsia="KaiTi" w:hAnsi="KaiTi"/>
          <w:i/>
          <w:sz w:val="21"/>
        </w:rPr>
        <w:t>)</w:t>
      </w:r>
      <w:r w:rsidR="0063202F" w:rsidRPr="0063202F">
        <w:rPr>
          <w:rFonts w:ascii="KaiTi" w:eastAsia="KaiTi" w:hAnsi="KaiTi" w:hint="eastAsia"/>
          <w:i/>
          <w:sz w:val="21"/>
        </w:rPr>
        <w:t>；并</w:t>
      </w:r>
    </w:p>
    <w:p w:rsidR="00C3354B" w:rsidRPr="0063202F" w:rsidRDefault="00C3354B" w:rsidP="009C2146">
      <w:pPr>
        <w:pStyle w:val="BodyText"/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63202F">
        <w:rPr>
          <w:rFonts w:ascii="KaiTi" w:eastAsia="KaiTi" w:hAnsi="KaiTi"/>
          <w:i/>
          <w:sz w:val="21"/>
        </w:rPr>
        <w:t>(</w:t>
      </w:r>
      <w:r w:rsidR="00852237" w:rsidRPr="0063202F">
        <w:rPr>
          <w:rFonts w:ascii="KaiTi" w:eastAsia="KaiTi" w:hAnsi="KaiTi"/>
          <w:i/>
          <w:sz w:val="21"/>
        </w:rPr>
        <w:t>e</w:t>
      </w:r>
      <w:r w:rsidRPr="0063202F">
        <w:rPr>
          <w:rFonts w:ascii="KaiTi" w:eastAsia="KaiTi" w:hAnsi="KaiTi"/>
          <w:i/>
          <w:sz w:val="21"/>
        </w:rPr>
        <w:t>)</w:t>
      </w:r>
      <w:r w:rsidRPr="0063202F">
        <w:rPr>
          <w:rFonts w:ascii="KaiTi" w:eastAsia="KaiTi" w:hAnsi="KaiTi"/>
          <w:i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要求</w:t>
      </w:r>
      <w:r w:rsidRPr="0063202F">
        <w:rPr>
          <w:rFonts w:ascii="KaiTi" w:eastAsia="KaiTi" w:hAnsi="KaiTi"/>
          <w:i/>
          <w:sz w:val="21"/>
        </w:rPr>
        <w:t>SEQL</w:t>
      </w:r>
      <w:r w:rsidR="009D49C6" w:rsidRPr="0063202F">
        <w:rPr>
          <w:rFonts w:ascii="KaiTi" w:eastAsia="KaiTi" w:hAnsi="KaiTi"/>
          <w:i/>
          <w:sz w:val="21"/>
        </w:rPr>
        <w:t>工作队</w:t>
      </w:r>
      <w:r w:rsidR="0063202F" w:rsidRPr="0063202F">
        <w:rPr>
          <w:rFonts w:ascii="KaiTi" w:eastAsia="KaiTi" w:hAnsi="KaiTi" w:hint="eastAsia"/>
          <w:i/>
          <w:sz w:val="21"/>
        </w:rPr>
        <w:t>为上文第5段</w:t>
      </w:r>
      <w:r w:rsidR="00A63152">
        <w:rPr>
          <w:rFonts w:ascii="KaiTi" w:eastAsia="KaiTi" w:hAnsi="KaiTi" w:hint="eastAsia"/>
          <w:i/>
          <w:sz w:val="21"/>
        </w:rPr>
        <w:t>中</w:t>
      </w:r>
      <w:r w:rsidR="0063202F" w:rsidRPr="0063202F">
        <w:rPr>
          <w:rFonts w:ascii="KaiTi" w:eastAsia="KaiTi" w:hAnsi="KaiTi" w:hint="eastAsia"/>
          <w:i/>
          <w:sz w:val="21"/>
        </w:rPr>
        <w:t>所述的过渡规定编写提案，并在委员会第五届会议上提交审议和批准。</w:t>
      </w:r>
    </w:p>
    <w:p w:rsidR="009C2146" w:rsidRDefault="009C2146" w:rsidP="009C2146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9225FD" w:rsidRPr="0063202F" w:rsidRDefault="00C3354B" w:rsidP="009C2146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63202F">
        <w:rPr>
          <w:rFonts w:ascii="KaiTi" w:eastAsia="KaiTi" w:hAnsi="KaiTi"/>
          <w:sz w:val="21"/>
        </w:rPr>
        <w:t>[</w:t>
      </w:r>
      <w:r w:rsidR="0063202F" w:rsidRPr="0063202F">
        <w:rPr>
          <w:rFonts w:ascii="KaiTi" w:eastAsia="KaiTi" w:hAnsi="KaiTi" w:hint="eastAsia"/>
          <w:sz w:val="21"/>
        </w:rPr>
        <w:t>后接附件</w:t>
      </w:r>
      <w:r w:rsidRPr="0063202F">
        <w:rPr>
          <w:rFonts w:ascii="KaiTi" w:eastAsia="KaiTi" w:hAnsi="KaiTi"/>
          <w:sz w:val="21"/>
        </w:rPr>
        <w:t>]</w:t>
      </w:r>
    </w:p>
    <w:sectPr w:rsidR="009225FD" w:rsidRPr="0063202F" w:rsidSect="009D49C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E" w:rsidRDefault="001007EE">
      <w:r>
        <w:separator/>
      </w:r>
    </w:p>
  </w:endnote>
  <w:endnote w:type="continuationSeparator" w:id="0">
    <w:p w:rsidR="001007EE" w:rsidRDefault="001007EE" w:rsidP="003B38C1">
      <w:r>
        <w:separator/>
      </w:r>
    </w:p>
    <w:p w:rsidR="001007EE" w:rsidRPr="003B38C1" w:rsidRDefault="0010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7EE" w:rsidRPr="003B38C1" w:rsidRDefault="0010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E" w:rsidRDefault="001007EE">
      <w:r>
        <w:separator/>
      </w:r>
    </w:p>
  </w:footnote>
  <w:footnote w:type="continuationSeparator" w:id="0">
    <w:p w:rsidR="001007EE" w:rsidRDefault="001007EE" w:rsidP="008B60B2">
      <w:r>
        <w:separator/>
      </w:r>
    </w:p>
    <w:p w:rsidR="001007EE" w:rsidRPr="00ED77FB" w:rsidRDefault="0010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7EE" w:rsidRPr="00ED77FB" w:rsidRDefault="0010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60D1" w:rsidRDefault="00117A63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5560D1">
      <w:rPr>
        <w:rFonts w:ascii="SimSun" w:hAnsi="SimSun"/>
        <w:sz w:val="21"/>
      </w:rPr>
      <w:t>CWS/4/7</w:t>
    </w:r>
  </w:p>
  <w:p w:rsidR="00EC4E49" w:rsidRDefault="005560D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560D1">
      <w:rPr>
        <w:rFonts w:ascii="SimSun" w:hAnsi="SimSun"/>
        <w:sz w:val="21"/>
      </w:rPr>
      <w:fldChar w:fldCharType="begin"/>
    </w:r>
    <w:r w:rsidR="00EC4E49" w:rsidRPr="005560D1">
      <w:rPr>
        <w:rFonts w:ascii="SimSun" w:hAnsi="SimSun"/>
        <w:sz w:val="21"/>
      </w:rPr>
      <w:instrText xml:space="preserve"> PAGE  \* MERGEFORMAT </w:instrText>
    </w:r>
    <w:r w:rsidR="00EC4E49" w:rsidRPr="005560D1">
      <w:rPr>
        <w:rFonts w:ascii="SimSun" w:hAnsi="SimSun"/>
        <w:sz w:val="21"/>
      </w:rPr>
      <w:fldChar w:fldCharType="separate"/>
    </w:r>
    <w:r w:rsidR="005F068E">
      <w:rPr>
        <w:rFonts w:ascii="SimSun" w:hAnsi="SimSun"/>
        <w:noProof/>
        <w:sz w:val="21"/>
      </w:rPr>
      <w:t>2</w:t>
    </w:r>
    <w:r w:rsidR="00EC4E49" w:rsidRPr="005560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560D1" w:rsidRPr="005560D1" w:rsidRDefault="005560D1" w:rsidP="00477D6B">
    <w:pPr>
      <w:jc w:val="right"/>
      <w:rPr>
        <w:rFonts w:ascii="SimSun" w:hAnsi="SimSun"/>
        <w:sz w:val="21"/>
      </w:rPr>
    </w:pPr>
  </w:p>
  <w:p w:rsidR="00EC4E49" w:rsidRPr="005560D1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7D45A1E"/>
    <w:lvl w:ilvl="0">
      <w:start w:val="7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34C78"/>
    <w:rsid w:val="00043CAA"/>
    <w:rsid w:val="00075432"/>
    <w:rsid w:val="000968ED"/>
    <w:rsid w:val="000E0E95"/>
    <w:rsid w:val="000F5E56"/>
    <w:rsid w:val="001002EA"/>
    <w:rsid w:val="001007EE"/>
    <w:rsid w:val="00117A63"/>
    <w:rsid w:val="001362EE"/>
    <w:rsid w:val="00154567"/>
    <w:rsid w:val="001832A6"/>
    <w:rsid w:val="002012DF"/>
    <w:rsid w:val="002634C4"/>
    <w:rsid w:val="00273EBF"/>
    <w:rsid w:val="00277EFB"/>
    <w:rsid w:val="00286369"/>
    <w:rsid w:val="002928D3"/>
    <w:rsid w:val="002F1FE6"/>
    <w:rsid w:val="002F4E68"/>
    <w:rsid w:val="00312F7F"/>
    <w:rsid w:val="00357A59"/>
    <w:rsid w:val="00361450"/>
    <w:rsid w:val="003673CF"/>
    <w:rsid w:val="003845C1"/>
    <w:rsid w:val="003A6F89"/>
    <w:rsid w:val="003B38C1"/>
    <w:rsid w:val="003B3DED"/>
    <w:rsid w:val="003F60AE"/>
    <w:rsid w:val="00423E3E"/>
    <w:rsid w:val="00427AF4"/>
    <w:rsid w:val="004508B8"/>
    <w:rsid w:val="004647DA"/>
    <w:rsid w:val="004719FA"/>
    <w:rsid w:val="00474062"/>
    <w:rsid w:val="00477D6B"/>
    <w:rsid w:val="004E4F9E"/>
    <w:rsid w:val="004F7C4B"/>
    <w:rsid w:val="005019FF"/>
    <w:rsid w:val="00504715"/>
    <w:rsid w:val="0053057A"/>
    <w:rsid w:val="005560D1"/>
    <w:rsid w:val="00560A29"/>
    <w:rsid w:val="005824E3"/>
    <w:rsid w:val="005C6649"/>
    <w:rsid w:val="005D2660"/>
    <w:rsid w:val="005F068E"/>
    <w:rsid w:val="00605827"/>
    <w:rsid w:val="006171EC"/>
    <w:rsid w:val="0063202F"/>
    <w:rsid w:val="00646050"/>
    <w:rsid w:val="00662341"/>
    <w:rsid w:val="006713CA"/>
    <w:rsid w:val="00676C5C"/>
    <w:rsid w:val="006C3149"/>
    <w:rsid w:val="007604C4"/>
    <w:rsid w:val="007B4F7A"/>
    <w:rsid w:val="007D1613"/>
    <w:rsid w:val="0081012B"/>
    <w:rsid w:val="00852237"/>
    <w:rsid w:val="00862123"/>
    <w:rsid w:val="008B2CC1"/>
    <w:rsid w:val="008B60B2"/>
    <w:rsid w:val="008C4A11"/>
    <w:rsid w:val="0090731E"/>
    <w:rsid w:val="00916EE2"/>
    <w:rsid w:val="009225FD"/>
    <w:rsid w:val="00954FDA"/>
    <w:rsid w:val="00966A22"/>
    <w:rsid w:val="0096722F"/>
    <w:rsid w:val="00980843"/>
    <w:rsid w:val="009C2146"/>
    <w:rsid w:val="009D49C6"/>
    <w:rsid w:val="009E2791"/>
    <w:rsid w:val="009E3F6F"/>
    <w:rsid w:val="009F499F"/>
    <w:rsid w:val="00A42DAF"/>
    <w:rsid w:val="00A45BD8"/>
    <w:rsid w:val="00A5471D"/>
    <w:rsid w:val="00A63152"/>
    <w:rsid w:val="00A869B7"/>
    <w:rsid w:val="00A9671E"/>
    <w:rsid w:val="00AA4C5E"/>
    <w:rsid w:val="00AC205C"/>
    <w:rsid w:val="00AF0A6B"/>
    <w:rsid w:val="00B05A69"/>
    <w:rsid w:val="00B31CB6"/>
    <w:rsid w:val="00B62D23"/>
    <w:rsid w:val="00B70061"/>
    <w:rsid w:val="00B9734B"/>
    <w:rsid w:val="00C11BFE"/>
    <w:rsid w:val="00C3354B"/>
    <w:rsid w:val="00C6636E"/>
    <w:rsid w:val="00C67C08"/>
    <w:rsid w:val="00CF4CAD"/>
    <w:rsid w:val="00D45252"/>
    <w:rsid w:val="00D71B4D"/>
    <w:rsid w:val="00D93D55"/>
    <w:rsid w:val="00DB1762"/>
    <w:rsid w:val="00DB40F0"/>
    <w:rsid w:val="00DD1F40"/>
    <w:rsid w:val="00E335FE"/>
    <w:rsid w:val="00E84598"/>
    <w:rsid w:val="00EB3B24"/>
    <w:rsid w:val="00EC4E49"/>
    <w:rsid w:val="00ED77FB"/>
    <w:rsid w:val="00EE45FA"/>
    <w:rsid w:val="00F23036"/>
    <w:rsid w:val="00F2604E"/>
    <w:rsid w:val="00F41722"/>
    <w:rsid w:val="00F46A6D"/>
    <w:rsid w:val="00F66152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7</TotalTime>
  <Pages>2</Pages>
  <Words>1118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(in Chinese)</vt:lpstr>
    </vt:vector>
  </TitlesOfParts>
  <Company>WIPO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(in Chinese)</dc:title>
  <dc:subject>关于用可扩展标记语言(XML)表示核苷酸和氨基酸序列表的新WIPO标准</dc:subject>
  <dc:creator>WIPO</dc:creator>
  <cp:lastModifiedBy>Geraldine Rodriguez</cp:lastModifiedBy>
  <cp:revision>2</cp:revision>
  <cp:lastPrinted>2014-04-01T13:06:00Z</cp:lastPrinted>
  <dcterms:created xsi:type="dcterms:W3CDTF">2014-05-02T14:01:00Z</dcterms:created>
  <dcterms:modified xsi:type="dcterms:W3CDTF">2014-05-02T14:01:00Z</dcterms:modified>
</cp:coreProperties>
</file>