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197B98" w:rsidP="003605CD">
            <w:pPr>
              <w:bidi/>
              <w:spacing w:after="2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D7D25" w:rsidP="00C326A1">
            <w:pPr>
              <w:pStyle w:val="DocumentCodeAR"/>
              <w:bidi/>
              <w:rPr>
                <w:rtl/>
              </w:rPr>
            </w:pPr>
            <w:r>
              <w:t>VI</w:t>
            </w:r>
            <w:r w:rsidR="00796CF7">
              <w:t>P</w:t>
            </w:r>
            <w:r w:rsidR="00100F97">
              <w:t>/</w:t>
            </w:r>
            <w:r w:rsidR="00824267">
              <w:t>DC</w:t>
            </w:r>
            <w:r w:rsidR="00B6101C" w:rsidRPr="00B6101C">
              <w:t>/</w:t>
            </w:r>
            <w:r w:rsidR="00C326A1">
              <w:t>7</w:t>
            </w:r>
          </w:p>
        </w:tc>
      </w:tr>
      <w:tr w:rsidR="001667B6" w:rsidTr="00BF164F">
        <w:tc>
          <w:tcPr>
            <w:tcW w:w="9571" w:type="dxa"/>
            <w:gridSpan w:val="3"/>
          </w:tcPr>
          <w:p w:rsidR="001667B6" w:rsidRPr="00C326A1" w:rsidRDefault="00B6101C" w:rsidP="00C326A1">
            <w:pPr>
              <w:pStyle w:val="DocumentLanguageAR"/>
              <w:bidi/>
              <w:rPr>
                <w:rtl/>
              </w:rPr>
            </w:pPr>
            <w:r w:rsidRPr="00B6101C">
              <w:rPr>
                <w:rFonts w:hint="cs"/>
                <w:rtl/>
              </w:rPr>
              <w:t xml:space="preserve">الأصل: </w:t>
            </w:r>
            <w:r w:rsidR="00C326A1">
              <w:rPr>
                <w:rFonts w:hint="cs"/>
                <w:rtl/>
              </w:rPr>
              <w:t>بالإنكليزية</w:t>
            </w:r>
          </w:p>
        </w:tc>
      </w:tr>
      <w:tr w:rsidR="001667B6" w:rsidTr="00BF164F">
        <w:tc>
          <w:tcPr>
            <w:tcW w:w="9571" w:type="dxa"/>
            <w:gridSpan w:val="3"/>
          </w:tcPr>
          <w:p w:rsidR="001667B6" w:rsidRPr="00B6101C" w:rsidRDefault="00B6101C" w:rsidP="00C326A1">
            <w:pPr>
              <w:pStyle w:val="DocumentDateAR"/>
              <w:bidi/>
              <w:rPr>
                <w:rtl/>
              </w:rPr>
            </w:pPr>
            <w:r w:rsidRPr="00B6101C">
              <w:rPr>
                <w:rFonts w:hint="cs"/>
                <w:rtl/>
              </w:rPr>
              <w:t xml:space="preserve">التاريخ: </w:t>
            </w:r>
            <w:r w:rsidR="00C326A1">
              <w:rPr>
                <w:rFonts w:hint="cs"/>
                <w:rtl/>
              </w:rPr>
              <w:t>21</w:t>
            </w:r>
            <w:r w:rsidRPr="00B6101C">
              <w:rPr>
                <w:rFonts w:hint="cs"/>
                <w:rtl/>
              </w:rPr>
              <w:t xml:space="preserve"> </w:t>
            </w:r>
            <w:r w:rsidR="00C326A1">
              <w:rPr>
                <w:rFonts w:hint="cs"/>
                <w:rtl/>
              </w:rPr>
              <w:t>يونيو</w:t>
            </w:r>
            <w:r w:rsidRPr="00B6101C">
              <w:rPr>
                <w:rFonts w:hint="cs"/>
                <w:rtl/>
              </w:rPr>
              <w:t xml:space="preserve"> </w:t>
            </w:r>
            <w:r w:rsidR="00190B6D">
              <w:rPr>
                <w:rFonts w:hint="cs"/>
                <w:rtl/>
              </w:rPr>
              <w:t>201</w:t>
            </w:r>
            <w:r w:rsidR="00824267">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2D7D25" w:rsidP="00824267">
      <w:pPr>
        <w:pStyle w:val="MeetingTitleAR"/>
        <w:bidi/>
        <w:ind w:right="550"/>
        <w:rPr>
          <w:rtl/>
        </w:rPr>
      </w:pPr>
      <w:r w:rsidRPr="00100F97">
        <w:rPr>
          <w:rtl/>
        </w:rPr>
        <w:t>ا</w:t>
      </w:r>
      <w:r>
        <w:rPr>
          <w:rFonts w:hint="cs"/>
          <w:rtl/>
        </w:rPr>
        <w:t xml:space="preserve">لمؤتمر الدبلوماسي المعني بإبرام معاهدة </w:t>
      </w:r>
      <w:r w:rsidR="00B7426D">
        <w:rPr>
          <w:rFonts w:hint="cs"/>
          <w:rtl/>
        </w:rPr>
        <w:t>ل</w:t>
      </w:r>
      <w:r>
        <w:rPr>
          <w:rFonts w:hint="cs"/>
          <w:rtl/>
        </w:rPr>
        <w:t>تيسير نفاذ الأشخاص معاقي البصر والأشخاص العاجزين عن قراءة المطبوعات إلى المصنفات المنشورة</w:t>
      </w:r>
    </w:p>
    <w:p w:rsidR="001667B6" w:rsidRDefault="001667B6" w:rsidP="001667B6">
      <w:pPr>
        <w:bidi/>
        <w:spacing w:line="360" w:lineRule="exact"/>
        <w:rPr>
          <w:rFonts w:ascii="Arabic Typesetting" w:hAnsi="Arabic Typesetting" w:cs="Arabic Typesetting"/>
          <w:sz w:val="36"/>
          <w:szCs w:val="36"/>
          <w:rtl/>
        </w:rPr>
      </w:pPr>
    </w:p>
    <w:p w:rsidR="00D61541" w:rsidRPr="00D61541" w:rsidRDefault="00824267" w:rsidP="003605CD">
      <w:pPr>
        <w:pStyle w:val="MeetingDatesAR"/>
        <w:bidi/>
        <w:rPr>
          <w:rtl/>
        </w:rPr>
      </w:pPr>
      <w:r>
        <w:rPr>
          <w:rFonts w:hint="cs"/>
          <w:rtl/>
        </w:rPr>
        <w:t>مراكش</w:t>
      </w:r>
      <w:r w:rsidR="00D61541" w:rsidRPr="00D61541">
        <w:rPr>
          <w:rFonts w:hint="cs"/>
          <w:rtl/>
        </w:rPr>
        <w:t xml:space="preserve">، </w:t>
      </w:r>
      <w:r>
        <w:rPr>
          <w:rFonts w:hint="cs"/>
          <w:rtl/>
        </w:rPr>
        <w:t xml:space="preserve">من </w:t>
      </w:r>
      <w:r w:rsidR="003605CD">
        <w:rPr>
          <w:rFonts w:hint="cs"/>
          <w:rtl/>
        </w:rPr>
        <w:t>17</w:t>
      </w:r>
      <w:r>
        <w:rPr>
          <w:rFonts w:hint="cs"/>
          <w:rtl/>
        </w:rPr>
        <w:t xml:space="preserve"> إلى </w:t>
      </w:r>
      <w:r w:rsidR="003605CD">
        <w:rPr>
          <w:rFonts w:hint="cs"/>
          <w:rtl/>
        </w:rPr>
        <w:t>28</w:t>
      </w:r>
      <w:r w:rsidR="002D7D25">
        <w:rPr>
          <w:rFonts w:hint="cs"/>
          <w:rtl/>
        </w:rPr>
        <w:t xml:space="preserve"> </w:t>
      </w:r>
      <w:r>
        <w:rPr>
          <w:rFonts w:hint="cs"/>
          <w:rtl/>
        </w:rPr>
        <w:t xml:space="preserve">يونيو </w:t>
      </w:r>
      <w:r w:rsidR="002D7D25">
        <w:rPr>
          <w:rFonts w:hint="cs"/>
          <w:rtl/>
        </w:rPr>
        <w:t>201</w:t>
      </w:r>
      <w:r>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B57CA" w:rsidP="00FB7EC9">
      <w:pPr>
        <w:pStyle w:val="DocumentTitleAR"/>
        <w:bidi/>
        <w:rPr>
          <w:rtl/>
        </w:rPr>
      </w:pPr>
      <w:r>
        <w:rPr>
          <w:rFonts w:hint="cs"/>
          <w:rtl/>
        </w:rPr>
        <w:t>التقرير الثاني للجنة فحص أوراق الاعتماد</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2B57CA">
        <w:rPr>
          <w:rFonts w:hint="cs"/>
          <w:rtl/>
        </w:rPr>
        <w:t xml:space="preserve"> الأمانة</w:t>
      </w:r>
    </w:p>
    <w:p w:rsidR="00F4020F" w:rsidRDefault="00F4020F" w:rsidP="00FF4790">
      <w:pPr>
        <w:pStyle w:val="NumberedParaAR"/>
      </w:pPr>
      <w:r>
        <w:rPr>
          <w:rtl/>
        </w:rPr>
        <w:t xml:space="preserve">اجتمعت </w:t>
      </w:r>
      <w:r w:rsidR="00371B21">
        <w:rPr>
          <w:rFonts w:hint="cs"/>
          <w:rtl/>
        </w:rPr>
        <w:t xml:space="preserve">للمرة الثانية </w:t>
      </w:r>
      <w:r>
        <w:rPr>
          <w:rtl/>
        </w:rPr>
        <w:t>لجنة فحص أوراق الاعتماد (</w:t>
      </w:r>
      <w:r>
        <w:rPr>
          <w:rFonts w:hint="cs"/>
          <w:rtl/>
        </w:rPr>
        <w:t>المشار إليها فيما يلي بمختصر "</w:t>
      </w:r>
      <w:r>
        <w:rPr>
          <w:rtl/>
        </w:rPr>
        <w:t xml:space="preserve">اللجنة") التي ألفها </w:t>
      </w:r>
      <w:r>
        <w:rPr>
          <w:rFonts w:hint="cs"/>
          <w:rtl/>
        </w:rPr>
        <w:t xml:space="preserve">في </w:t>
      </w:r>
      <w:r w:rsidR="00FF4790">
        <w:rPr>
          <w:rFonts w:hint="cs"/>
          <w:rtl/>
        </w:rPr>
        <w:t>18</w:t>
      </w:r>
      <w:r>
        <w:rPr>
          <w:rFonts w:hint="eastAsia"/>
          <w:rtl/>
        </w:rPr>
        <w:t> </w:t>
      </w:r>
      <w:r>
        <w:rPr>
          <w:rFonts w:hint="cs"/>
          <w:rtl/>
        </w:rPr>
        <w:t xml:space="preserve">يونيو 2013 </w:t>
      </w:r>
      <w:r w:rsidRPr="00F4020F">
        <w:rPr>
          <w:rtl/>
        </w:rPr>
        <w:t>المؤتمر الدبلوماسي المعني بإبرام معاهدة لتيسير نفاذ الأشخاص معاقي البصر والأشخاص العاجزين عن قراءة المطبوعات إلى المصنفات المنشورة</w:t>
      </w:r>
      <w:r>
        <w:rPr>
          <w:rtl/>
        </w:rPr>
        <w:t xml:space="preserve"> في </w:t>
      </w:r>
      <w:r w:rsidR="00FF4790">
        <w:rPr>
          <w:rFonts w:hint="cs"/>
          <w:rtl/>
        </w:rPr>
        <w:t>21</w:t>
      </w:r>
      <w:r>
        <w:rPr>
          <w:rFonts w:hint="cs"/>
          <w:rtl/>
        </w:rPr>
        <w:t xml:space="preserve"> يونيو 2013</w:t>
      </w:r>
      <w:r>
        <w:rPr>
          <w:rtl/>
        </w:rPr>
        <w:t>.</w:t>
      </w:r>
    </w:p>
    <w:p w:rsidR="00F4020F" w:rsidRDefault="00F4020F" w:rsidP="00E84319">
      <w:pPr>
        <w:pStyle w:val="NumberedParaAR"/>
        <w:rPr>
          <w:rtl/>
        </w:rPr>
      </w:pPr>
      <w:r>
        <w:rPr>
          <w:rtl/>
        </w:rPr>
        <w:t xml:space="preserve">وحضرت الاجتماع وفود الدول التالي ذكرها والأعضاء في اللجنة والتي انتخبها المؤتمر الدبلوماسي: </w:t>
      </w:r>
      <w:r w:rsidR="00E84319">
        <w:rPr>
          <w:rFonts w:hint="cs"/>
          <w:rtl/>
        </w:rPr>
        <w:t>شيلي والصين والجمهورية التشيكية وجورجيا والكرسي الرسولي وموريتانيا وجمهورية كوريا</w:t>
      </w:r>
      <w:r w:rsidR="00E84319" w:rsidRPr="00E84319">
        <w:rPr>
          <w:rtl/>
        </w:rPr>
        <w:t>.</w:t>
      </w:r>
      <w:r w:rsidR="00E84319" w:rsidRPr="00E84319">
        <w:rPr>
          <w:rFonts w:hint="cs"/>
          <w:rtl/>
        </w:rPr>
        <w:t xml:space="preserve"> (7</w:t>
      </w:r>
      <w:r w:rsidRPr="00E84319">
        <w:rPr>
          <w:rFonts w:hint="cs"/>
          <w:rtl/>
        </w:rPr>
        <w:t>).</w:t>
      </w:r>
    </w:p>
    <w:p w:rsidR="00F4020F" w:rsidRDefault="00F4020F" w:rsidP="00E84319">
      <w:pPr>
        <w:pStyle w:val="NumberedParaAR"/>
      </w:pPr>
      <w:r>
        <w:rPr>
          <w:rtl/>
        </w:rPr>
        <w:t xml:space="preserve">وكان رئيس اللجنة الذي انتخبه المؤتمر الدبلوماسي </w:t>
      </w:r>
      <w:r w:rsidR="00E84319">
        <w:rPr>
          <w:rtl/>
        </w:rPr>
        <w:t>السيد</w:t>
      </w:r>
      <w:r w:rsidR="00E84319">
        <w:rPr>
          <w:rFonts w:hint="cs"/>
          <w:rtl/>
        </w:rPr>
        <w:t xml:space="preserve"> أندريس غوجيانا (شيلي)</w:t>
      </w:r>
      <w:r w:rsidR="00E84319">
        <w:rPr>
          <w:rtl/>
        </w:rPr>
        <w:t xml:space="preserve">. وكان نائبا الرئيس اللذان انتخبهما المؤتمر الدبلوماسي </w:t>
      </w:r>
      <w:r w:rsidR="00E84319">
        <w:rPr>
          <w:rFonts w:hint="cs"/>
          <w:rtl/>
        </w:rPr>
        <w:t>السيدة دانغ يوهوا (الصين) والسيد شي-هيونغ كيم (جمهورية كوريا)</w:t>
      </w:r>
      <w:r w:rsidR="00E84319">
        <w:rPr>
          <w:rtl/>
        </w:rPr>
        <w:t>.</w:t>
      </w:r>
    </w:p>
    <w:p w:rsidR="00F4020F" w:rsidRDefault="00F4020F" w:rsidP="00E84319">
      <w:pPr>
        <w:pStyle w:val="NumberedParaAR"/>
        <w:rPr>
          <w:rtl/>
        </w:rPr>
      </w:pPr>
      <w:r>
        <w:rPr>
          <w:rtl/>
        </w:rPr>
        <w:t xml:space="preserve">ووفقا للمادة 9(1) من النظام الداخلي الذي اعتمده </w:t>
      </w:r>
      <w:r>
        <w:rPr>
          <w:rFonts w:hint="cs"/>
          <w:rtl/>
        </w:rPr>
        <w:t xml:space="preserve">المؤتمر </w:t>
      </w:r>
      <w:r>
        <w:rPr>
          <w:rtl/>
        </w:rPr>
        <w:t xml:space="preserve">في </w:t>
      </w:r>
      <w:r w:rsidR="00E84319">
        <w:rPr>
          <w:rFonts w:hint="cs"/>
          <w:rtl/>
        </w:rPr>
        <w:t>18</w:t>
      </w:r>
      <w:r>
        <w:rPr>
          <w:rFonts w:hint="cs"/>
          <w:rtl/>
        </w:rPr>
        <w:t xml:space="preserve"> يونيو 201</w:t>
      </w:r>
      <w:r w:rsidR="00E84319">
        <w:rPr>
          <w:rFonts w:hint="cs"/>
          <w:rtl/>
        </w:rPr>
        <w:t>3</w:t>
      </w:r>
      <w:r>
        <w:rPr>
          <w:rtl/>
        </w:rPr>
        <w:t xml:space="preserve"> (الوثيقة </w:t>
      </w:r>
      <w:r w:rsidR="002A2AD5">
        <w:t>VIP</w:t>
      </w:r>
      <w:r>
        <w:t>/DC/</w:t>
      </w:r>
      <w:r w:rsidR="00E84319">
        <w:t>2</w:t>
      </w:r>
      <w:r>
        <w:rPr>
          <w:rtl/>
        </w:rPr>
        <w:t xml:space="preserve">، </w:t>
      </w:r>
      <w:r>
        <w:rPr>
          <w:rFonts w:hint="cs"/>
          <w:rtl/>
        </w:rPr>
        <w:t xml:space="preserve">المشار إليه فيما يلي بمختصر </w:t>
      </w:r>
      <w:r>
        <w:rPr>
          <w:rtl/>
        </w:rPr>
        <w:t xml:space="preserve">"النظام الداخلي")، فحصت اللجنة أوراق الاعتماد والتفويض الكامل التي تسلمتها منذ اجتماعها الأول في </w:t>
      </w:r>
      <w:r w:rsidR="00E84319">
        <w:t>19</w:t>
      </w:r>
      <w:r>
        <w:rPr>
          <w:rFonts w:hint="cs"/>
          <w:rtl/>
        </w:rPr>
        <w:t xml:space="preserve"> يونيو </w:t>
      </w:r>
      <w:r w:rsidR="00E84319">
        <w:t>2013</w:t>
      </w:r>
      <w:r>
        <w:rPr>
          <w:rFonts w:hint="cs"/>
          <w:rtl/>
        </w:rPr>
        <w:t>.</w:t>
      </w:r>
    </w:p>
    <w:p w:rsidR="00E84319" w:rsidRDefault="00E84319">
      <w:pPr>
        <w:rPr>
          <w:rFonts w:ascii="Arabic Typesetting" w:hAnsi="Arabic Typesetting" w:cs="Arabic Typesetting"/>
          <w:sz w:val="36"/>
          <w:szCs w:val="36"/>
          <w:rtl/>
        </w:rPr>
      </w:pPr>
      <w:r>
        <w:rPr>
          <w:rtl/>
        </w:rPr>
        <w:br w:type="page"/>
      </w:r>
    </w:p>
    <w:p w:rsidR="00F4020F" w:rsidRDefault="00F4020F" w:rsidP="00E84319">
      <w:pPr>
        <w:pStyle w:val="NumberedParaAR"/>
        <w:keepNext/>
        <w:rPr>
          <w:rtl/>
        </w:rPr>
      </w:pPr>
      <w:r>
        <w:rPr>
          <w:rtl/>
        </w:rPr>
        <w:lastRenderedPageBreak/>
        <w:t>ورأت اللجنة أن ما يأتي سليم:</w:t>
      </w:r>
    </w:p>
    <w:p w:rsidR="00F4020F" w:rsidRDefault="00F4020F" w:rsidP="00F4020F">
      <w:pPr>
        <w:pStyle w:val="NormalParaAR"/>
        <w:ind w:left="6" w:firstLine="567"/>
        <w:rPr>
          <w:rtl/>
        </w:rPr>
      </w:pPr>
      <w:r>
        <w:rPr>
          <w:rtl/>
        </w:rPr>
        <w:t>(أ)</w:t>
      </w:r>
      <w:r>
        <w:rPr>
          <w:rtl/>
        </w:rPr>
        <w:tab/>
        <w:t xml:space="preserve">بالنسبة إلى </w:t>
      </w:r>
      <w:r w:rsidRPr="00D37C5B">
        <w:rPr>
          <w:i/>
          <w:iCs/>
          <w:rtl/>
        </w:rPr>
        <w:t>الوفود الأعضاء</w:t>
      </w:r>
      <w:r>
        <w:rPr>
          <w:rtl/>
        </w:rPr>
        <w:t>،</w:t>
      </w:r>
    </w:p>
    <w:p w:rsidR="00F4020F" w:rsidRDefault="00F4020F" w:rsidP="00671AA7">
      <w:pPr>
        <w:pStyle w:val="NumberedParaAR"/>
        <w:numPr>
          <w:ilvl w:val="0"/>
          <w:numId w:val="0"/>
        </w:numPr>
        <w:spacing w:after="120"/>
        <w:ind w:left="1700" w:hanging="566"/>
        <w:rPr>
          <w:rtl/>
        </w:rPr>
      </w:pPr>
      <w:r>
        <w:rPr>
          <w:rFonts w:hint="cs"/>
          <w:rtl/>
        </w:rPr>
        <w:t>"1"</w:t>
      </w:r>
      <w:r>
        <w:rPr>
          <w:rtl/>
        </w:rPr>
        <w:tab/>
      </w:r>
      <w:r w:rsidRPr="007B147B">
        <w:rPr>
          <w:i/>
          <w:iCs/>
          <w:rtl/>
        </w:rPr>
        <w:t>أوراق الاعتماد والتفويض الكامل</w:t>
      </w:r>
      <w:r>
        <w:rPr>
          <w:rtl/>
        </w:rPr>
        <w:t xml:space="preserve"> (أي </w:t>
      </w:r>
      <w:r w:rsidRPr="007B147B">
        <w:rPr>
          <w:i/>
          <w:iCs/>
          <w:rtl/>
        </w:rPr>
        <w:t>أوراق الاعتماد</w:t>
      </w:r>
      <w:r>
        <w:rPr>
          <w:rtl/>
        </w:rPr>
        <w:t xml:space="preserve"> للمشاركة في المؤتمر والتوقيع على وثيقته الختامية </w:t>
      </w:r>
      <w:r w:rsidRPr="007B147B">
        <w:rPr>
          <w:i/>
          <w:iCs/>
          <w:rtl/>
        </w:rPr>
        <w:t>والتفويض الكامل</w:t>
      </w:r>
      <w:r>
        <w:rPr>
          <w:rtl/>
        </w:rPr>
        <w:t xml:space="preserve"> للتوقيع على المعاهدة التي سيعتمدها المؤتمر الدبلوماسي) لوفود </w:t>
      </w:r>
      <w:r w:rsidR="002A2AD5">
        <w:rPr>
          <w:rFonts w:hint="cs"/>
          <w:rtl/>
        </w:rPr>
        <w:t xml:space="preserve">الدول </w:t>
      </w:r>
      <w:r>
        <w:rPr>
          <w:rtl/>
        </w:rPr>
        <w:t>التالي ذكرها</w:t>
      </w:r>
      <w:r w:rsidR="00671AA7">
        <w:t xml:space="preserve"> </w:t>
      </w:r>
      <w:r w:rsidR="00671AA7">
        <w:rPr>
          <w:rFonts w:hint="cs"/>
          <w:rtl/>
        </w:rPr>
        <w:t>(20 دولة)</w:t>
      </w:r>
      <w:r>
        <w:rPr>
          <w:rtl/>
        </w:rPr>
        <w:t>:</w:t>
      </w:r>
    </w:p>
    <w:p w:rsidR="00F4020F" w:rsidRDefault="00671AA7" w:rsidP="00671AA7">
      <w:pPr>
        <w:pStyle w:val="NumberedParaAR"/>
        <w:numPr>
          <w:ilvl w:val="0"/>
          <w:numId w:val="0"/>
        </w:numPr>
        <w:spacing w:after="0"/>
        <w:ind w:left="1700"/>
        <w:rPr>
          <w:rtl/>
        </w:rPr>
      </w:pPr>
      <w:r w:rsidRPr="00671AA7">
        <w:rPr>
          <w:rFonts w:hint="cs"/>
          <w:rtl/>
        </w:rPr>
        <w:t>البرازيل</w:t>
      </w:r>
    </w:p>
    <w:p w:rsidR="00671AA7" w:rsidRDefault="00671AA7" w:rsidP="00671AA7">
      <w:pPr>
        <w:pStyle w:val="NumberedParaAR"/>
        <w:numPr>
          <w:ilvl w:val="0"/>
          <w:numId w:val="0"/>
        </w:numPr>
        <w:spacing w:after="0"/>
        <w:ind w:left="1700"/>
        <w:rPr>
          <w:rtl/>
        </w:rPr>
      </w:pPr>
      <w:r>
        <w:rPr>
          <w:rFonts w:hint="cs"/>
          <w:rtl/>
        </w:rPr>
        <w:t>كمبوديا</w:t>
      </w:r>
    </w:p>
    <w:p w:rsidR="00671AA7" w:rsidRDefault="00671AA7" w:rsidP="00671AA7">
      <w:pPr>
        <w:pStyle w:val="NumberedParaAR"/>
        <w:numPr>
          <w:ilvl w:val="0"/>
          <w:numId w:val="0"/>
        </w:numPr>
        <w:spacing w:after="0"/>
        <w:ind w:left="1700"/>
        <w:rPr>
          <w:rtl/>
        </w:rPr>
      </w:pPr>
      <w:r>
        <w:rPr>
          <w:rFonts w:hint="cs"/>
          <w:rtl/>
        </w:rPr>
        <w:t>كاميرون</w:t>
      </w:r>
    </w:p>
    <w:p w:rsidR="00671AA7" w:rsidRDefault="00671AA7" w:rsidP="00671AA7">
      <w:pPr>
        <w:pStyle w:val="NumberedParaAR"/>
        <w:numPr>
          <w:ilvl w:val="0"/>
          <w:numId w:val="0"/>
        </w:numPr>
        <w:spacing w:after="0"/>
        <w:ind w:left="1700"/>
        <w:rPr>
          <w:rtl/>
        </w:rPr>
      </w:pPr>
      <w:r>
        <w:rPr>
          <w:rFonts w:hint="cs"/>
          <w:rtl/>
        </w:rPr>
        <w:t>جزر القمر</w:t>
      </w:r>
    </w:p>
    <w:p w:rsidR="00671AA7" w:rsidRDefault="00671AA7" w:rsidP="00671AA7">
      <w:pPr>
        <w:pStyle w:val="NumberedParaAR"/>
        <w:numPr>
          <w:ilvl w:val="0"/>
          <w:numId w:val="0"/>
        </w:numPr>
        <w:spacing w:after="0"/>
        <w:ind w:left="1700"/>
        <w:rPr>
          <w:rtl/>
        </w:rPr>
      </w:pPr>
      <w:r>
        <w:rPr>
          <w:rFonts w:hint="cs"/>
          <w:rtl/>
        </w:rPr>
        <w:t>كوت ديفوار</w:t>
      </w:r>
    </w:p>
    <w:p w:rsidR="00671AA7" w:rsidRDefault="00671AA7" w:rsidP="00671AA7">
      <w:pPr>
        <w:pStyle w:val="NumberedParaAR"/>
        <w:numPr>
          <w:ilvl w:val="0"/>
          <w:numId w:val="0"/>
        </w:numPr>
        <w:spacing w:after="0"/>
        <w:ind w:left="1700"/>
        <w:rPr>
          <w:rtl/>
        </w:rPr>
      </w:pPr>
      <w:r>
        <w:rPr>
          <w:rFonts w:hint="cs"/>
          <w:rtl/>
        </w:rPr>
        <w:t>جمهورية كوريا الشعبية الديمقراطية</w:t>
      </w:r>
    </w:p>
    <w:p w:rsidR="00671AA7" w:rsidRDefault="00671AA7" w:rsidP="00671AA7">
      <w:pPr>
        <w:pStyle w:val="NumberedParaAR"/>
        <w:numPr>
          <w:ilvl w:val="0"/>
          <w:numId w:val="0"/>
        </w:numPr>
        <w:spacing w:after="0"/>
        <w:ind w:left="1700"/>
        <w:rPr>
          <w:rtl/>
        </w:rPr>
      </w:pPr>
      <w:r>
        <w:rPr>
          <w:rFonts w:hint="cs"/>
          <w:rtl/>
        </w:rPr>
        <w:t>جيبوتي</w:t>
      </w:r>
    </w:p>
    <w:p w:rsidR="00671AA7" w:rsidRDefault="00671AA7" w:rsidP="00671AA7">
      <w:pPr>
        <w:pStyle w:val="NumberedParaAR"/>
        <w:numPr>
          <w:ilvl w:val="0"/>
          <w:numId w:val="0"/>
        </w:numPr>
        <w:spacing w:after="0"/>
        <w:ind w:left="1700"/>
        <w:rPr>
          <w:rtl/>
        </w:rPr>
      </w:pPr>
      <w:r>
        <w:rPr>
          <w:rFonts w:hint="cs"/>
          <w:rtl/>
        </w:rPr>
        <w:t>الجمهورية الدومينيكية</w:t>
      </w:r>
    </w:p>
    <w:p w:rsidR="00671AA7" w:rsidRDefault="00671AA7" w:rsidP="00671AA7">
      <w:pPr>
        <w:pStyle w:val="NumberedParaAR"/>
        <w:numPr>
          <w:ilvl w:val="0"/>
          <w:numId w:val="0"/>
        </w:numPr>
        <w:spacing w:after="0"/>
        <w:ind w:left="1700"/>
        <w:rPr>
          <w:rtl/>
        </w:rPr>
      </w:pPr>
      <w:r>
        <w:rPr>
          <w:rFonts w:hint="cs"/>
          <w:rtl/>
        </w:rPr>
        <w:t>هايتي</w:t>
      </w:r>
    </w:p>
    <w:p w:rsidR="00671AA7" w:rsidRDefault="00671AA7" w:rsidP="00671AA7">
      <w:pPr>
        <w:pStyle w:val="NumberedParaAR"/>
        <w:numPr>
          <w:ilvl w:val="0"/>
          <w:numId w:val="0"/>
        </w:numPr>
        <w:spacing w:after="0"/>
        <w:ind w:left="1700"/>
        <w:rPr>
          <w:rtl/>
        </w:rPr>
      </w:pPr>
      <w:r>
        <w:rPr>
          <w:rFonts w:hint="cs"/>
          <w:rtl/>
        </w:rPr>
        <w:t>الأردن</w:t>
      </w:r>
    </w:p>
    <w:p w:rsidR="00671AA7" w:rsidRDefault="00671AA7" w:rsidP="00671AA7">
      <w:pPr>
        <w:pStyle w:val="NumberedParaAR"/>
        <w:numPr>
          <w:ilvl w:val="0"/>
          <w:numId w:val="0"/>
        </w:numPr>
        <w:spacing w:after="0"/>
        <w:ind w:left="1700"/>
        <w:rPr>
          <w:rtl/>
        </w:rPr>
      </w:pPr>
      <w:r>
        <w:rPr>
          <w:rFonts w:hint="cs"/>
          <w:rtl/>
        </w:rPr>
        <w:t>لبنان</w:t>
      </w:r>
    </w:p>
    <w:p w:rsidR="00671AA7" w:rsidRDefault="00671AA7" w:rsidP="00671AA7">
      <w:pPr>
        <w:pStyle w:val="NumberedParaAR"/>
        <w:numPr>
          <w:ilvl w:val="0"/>
          <w:numId w:val="0"/>
        </w:numPr>
        <w:spacing w:after="0"/>
        <w:ind w:left="1700"/>
        <w:rPr>
          <w:rtl/>
        </w:rPr>
      </w:pPr>
      <w:r>
        <w:rPr>
          <w:rFonts w:hint="cs"/>
          <w:rtl/>
        </w:rPr>
        <w:t>لكسمبرغ</w:t>
      </w:r>
    </w:p>
    <w:p w:rsidR="00671AA7" w:rsidRDefault="00671AA7" w:rsidP="00671AA7">
      <w:pPr>
        <w:pStyle w:val="NumberedParaAR"/>
        <w:numPr>
          <w:ilvl w:val="0"/>
          <w:numId w:val="0"/>
        </w:numPr>
        <w:spacing w:after="0"/>
        <w:ind w:left="1700"/>
        <w:rPr>
          <w:rtl/>
        </w:rPr>
      </w:pPr>
      <w:r>
        <w:rPr>
          <w:rFonts w:hint="cs"/>
          <w:rtl/>
        </w:rPr>
        <w:t>مالي</w:t>
      </w:r>
    </w:p>
    <w:p w:rsidR="00671AA7" w:rsidRDefault="00671AA7" w:rsidP="00671AA7">
      <w:pPr>
        <w:pStyle w:val="NumberedParaAR"/>
        <w:numPr>
          <w:ilvl w:val="0"/>
          <w:numId w:val="0"/>
        </w:numPr>
        <w:spacing w:after="0"/>
        <w:ind w:left="1700"/>
        <w:rPr>
          <w:rtl/>
        </w:rPr>
      </w:pPr>
      <w:r>
        <w:rPr>
          <w:rFonts w:hint="cs"/>
          <w:rtl/>
        </w:rPr>
        <w:t>منغوليا</w:t>
      </w:r>
    </w:p>
    <w:p w:rsidR="00671AA7" w:rsidRDefault="00671AA7" w:rsidP="00671AA7">
      <w:pPr>
        <w:pStyle w:val="NumberedParaAR"/>
        <w:numPr>
          <w:ilvl w:val="0"/>
          <w:numId w:val="0"/>
        </w:numPr>
        <w:spacing w:after="0"/>
        <w:ind w:left="1700"/>
        <w:rPr>
          <w:rtl/>
        </w:rPr>
      </w:pPr>
      <w:r>
        <w:rPr>
          <w:rFonts w:hint="cs"/>
          <w:rtl/>
        </w:rPr>
        <w:t>ناميبيا</w:t>
      </w:r>
    </w:p>
    <w:p w:rsidR="00671AA7" w:rsidRDefault="00671AA7" w:rsidP="00671AA7">
      <w:pPr>
        <w:pStyle w:val="NumberedParaAR"/>
        <w:numPr>
          <w:ilvl w:val="0"/>
          <w:numId w:val="0"/>
        </w:numPr>
        <w:spacing w:after="0"/>
        <w:ind w:left="1700"/>
        <w:rPr>
          <w:rtl/>
        </w:rPr>
      </w:pPr>
      <w:r>
        <w:rPr>
          <w:rFonts w:hint="cs"/>
          <w:rtl/>
        </w:rPr>
        <w:t>نيبال</w:t>
      </w:r>
    </w:p>
    <w:p w:rsidR="00671AA7" w:rsidRDefault="00671AA7" w:rsidP="00671AA7">
      <w:pPr>
        <w:pStyle w:val="NumberedParaAR"/>
        <w:numPr>
          <w:ilvl w:val="0"/>
          <w:numId w:val="0"/>
        </w:numPr>
        <w:spacing w:after="0"/>
        <w:ind w:left="1700"/>
        <w:rPr>
          <w:rtl/>
        </w:rPr>
      </w:pPr>
      <w:r>
        <w:rPr>
          <w:rFonts w:hint="cs"/>
          <w:rtl/>
        </w:rPr>
        <w:t>بنما</w:t>
      </w:r>
    </w:p>
    <w:p w:rsidR="00671AA7" w:rsidRDefault="00671AA7" w:rsidP="00671AA7">
      <w:pPr>
        <w:pStyle w:val="NumberedParaAR"/>
        <w:numPr>
          <w:ilvl w:val="0"/>
          <w:numId w:val="0"/>
        </w:numPr>
        <w:spacing w:after="0"/>
        <w:ind w:left="1700"/>
        <w:rPr>
          <w:rtl/>
        </w:rPr>
      </w:pPr>
      <w:r>
        <w:rPr>
          <w:rFonts w:hint="cs"/>
          <w:rtl/>
        </w:rPr>
        <w:t>باراغواي</w:t>
      </w:r>
    </w:p>
    <w:p w:rsidR="00671AA7" w:rsidRDefault="00671AA7" w:rsidP="00671AA7">
      <w:pPr>
        <w:pStyle w:val="NumberedParaAR"/>
        <w:numPr>
          <w:ilvl w:val="0"/>
          <w:numId w:val="0"/>
        </w:numPr>
        <w:spacing w:after="0"/>
        <w:ind w:left="1700"/>
        <w:rPr>
          <w:rtl/>
        </w:rPr>
      </w:pPr>
      <w:r>
        <w:rPr>
          <w:rFonts w:hint="cs"/>
          <w:rtl/>
        </w:rPr>
        <w:t>سان تومي وبرينسيبي</w:t>
      </w:r>
    </w:p>
    <w:p w:rsidR="00F4020F" w:rsidRDefault="00671AA7" w:rsidP="00671AA7">
      <w:pPr>
        <w:pStyle w:val="NumberedParaAR"/>
        <w:numPr>
          <w:ilvl w:val="0"/>
          <w:numId w:val="0"/>
        </w:numPr>
        <w:ind w:left="1700"/>
        <w:rPr>
          <w:rtl/>
        </w:rPr>
      </w:pPr>
      <w:r>
        <w:rPr>
          <w:rFonts w:hint="cs"/>
          <w:rtl/>
        </w:rPr>
        <w:t>أوروغواي</w:t>
      </w:r>
    </w:p>
    <w:p w:rsidR="00F4020F" w:rsidRDefault="00F4020F" w:rsidP="00671AA7">
      <w:pPr>
        <w:pStyle w:val="NumberedParaAR"/>
        <w:numPr>
          <w:ilvl w:val="0"/>
          <w:numId w:val="0"/>
        </w:numPr>
        <w:spacing w:after="120"/>
        <w:ind w:left="1700" w:hanging="566"/>
        <w:rPr>
          <w:rtl/>
        </w:rPr>
      </w:pPr>
      <w:r>
        <w:rPr>
          <w:rFonts w:hint="cs"/>
          <w:rtl/>
        </w:rPr>
        <w:t>"2"</w:t>
      </w:r>
      <w:r>
        <w:rPr>
          <w:rtl/>
        </w:rPr>
        <w:tab/>
      </w:r>
      <w:r w:rsidRPr="00DB2DCC">
        <w:rPr>
          <w:i/>
          <w:iCs/>
          <w:rtl/>
        </w:rPr>
        <w:t>وأوراق اعتماد</w:t>
      </w:r>
      <w:r>
        <w:rPr>
          <w:rtl/>
        </w:rPr>
        <w:t xml:space="preserve"> وفود الدول </w:t>
      </w:r>
      <w:r>
        <w:rPr>
          <w:rFonts w:hint="cs"/>
          <w:rtl/>
        </w:rPr>
        <w:t>(</w:t>
      </w:r>
      <w:r w:rsidR="00671AA7">
        <w:rPr>
          <w:rFonts w:hint="cs"/>
          <w:rtl/>
        </w:rPr>
        <w:t>16</w:t>
      </w:r>
      <w:r>
        <w:rPr>
          <w:rFonts w:hint="cs"/>
          <w:rtl/>
        </w:rPr>
        <w:t xml:space="preserve">) </w:t>
      </w:r>
      <w:r>
        <w:rPr>
          <w:rtl/>
        </w:rPr>
        <w:t>التالي ذكرها دون التفويض الكامل</w:t>
      </w:r>
      <w:r>
        <w:rPr>
          <w:rFonts w:hint="cs"/>
          <w:rtl/>
        </w:rPr>
        <w:t xml:space="preserve"> للتوقيع على المعاهدة</w:t>
      </w:r>
      <w:r>
        <w:rPr>
          <w:rtl/>
        </w:rPr>
        <w:t xml:space="preserve"> (أي </w:t>
      </w:r>
      <w:r w:rsidRPr="00DB2DCC">
        <w:rPr>
          <w:i/>
          <w:iCs/>
          <w:rtl/>
        </w:rPr>
        <w:t>أوراق الاعتماد</w:t>
      </w:r>
      <w:r>
        <w:rPr>
          <w:rtl/>
        </w:rPr>
        <w:t xml:space="preserve"> للمشاركة في المؤتمر والتوقيع على وثيقته الختامية):</w:t>
      </w:r>
    </w:p>
    <w:p w:rsidR="00F4020F" w:rsidRDefault="00671AA7" w:rsidP="00671AA7">
      <w:pPr>
        <w:pStyle w:val="NumberedParaAR"/>
        <w:numPr>
          <w:ilvl w:val="0"/>
          <w:numId w:val="0"/>
        </w:numPr>
        <w:spacing w:after="0"/>
        <w:ind w:left="1700"/>
        <w:rPr>
          <w:rtl/>
        </w:rPr>
      </w:pPr>
      <w:r>
        <w:rPr>
          <w:rFonts w:hint="cs"/>
          <w:rtl/>
        </w:rPr>
        <w:t>أنغولا</w:t>
      </w:r>
    </w:p>
    <w:p w:rsidR="00671AA7" w:rsidRDefault="00671AA7" w:rsidP="00671AA7">
      <w:pPr>
        <w:pStyle w:val="NumberedParaAR"/>
        <w:numPr>
          <w:ilvl w:val="0"/>
          <w:numId w:val="0"/>
        </w:numPr>
        <w:spacing w:after="0"/>
        <w:ind w:left="1700"/>
        <w:rPr>
          <w:rtl/>
        </w:rPr>
      </w:pPr>
      <w:r>
        <w:rPr>
          <w:rFonts w:hint="cs"/>
          <w:rtl/>
        </w:rPr>
        <w:t>كرواتيا</w:t>
      </w:r>
    </w:p>
    <w:p w:rsidR="00671AA7" w:rsidRDefault="00671AA7" w:rsidP="00671AA7">
      <w:pPr>
        <w:pStyle w:val="NumberedParaAR"/>
        <w:numPr>
          <w:ilvl w:val="0"/>
          <w:numId w:val="0"/>
        </w:numPr>
        <w:spacing w:after="0"/>
        <w:ind w:left="1700"/>
        <w:rPr>
          <w:rtl/>
        </w:rPr>
      </w:pPr>
      <w:r>
        <w:rPr>
          <w:rFonts w:hint="cs"/>
          <w:rtl/>
        </w:rPr>
        <w:t>كوبا</w:t>
      </w:r>
    </w:p>
    <w:p w:rsidR="00671AA7" w:rsidRDefault="00671AA7" w:rsidP="00671AA7">
      <w:pPr>
        <w:pStyle w:val="NumberedParaAR"/>
        <w:numPr>
          <w:ilvl w:val="0"/>
          <w:numId w:val="0"/>
        </w:numPr>
        <w:spacing w:after="0"/>
        <w:ind w:left="1700"/>
        <w:rPr>
          <w:rtl/>
        </w:rPr>
      </w:pPr>
      <w:r>
        <w:rPr>
          <w:rFonts w:hint="cs"/>
          <w:rtl/>
        </w:rPr>
        <w:t>فيجي</w:t>
      </w:r>
    </w:p>
    <w:p w:rsidR="00671AA7" w:rsidRDefault="00671AA7" w:rsidP="00671AA7">
      <w:pPr>
        <w:pStyle w:val="NumberedParaAR"/>
        <w:numPr>
          <w:ilvl w:val="0"/>
          <w:numId w:val="0"/>
        </w:numPr>
        <w:spacing w:after="0"/>
        <w:ind w:left="1700"/>
        <w:rPr>
          <w:rtl/>
        </w:rPr>
      </w:pPr>
      <w:r>
        <w:rPr>
          <w:rFonts w:hint="cs"/>
          <w:rtl/>
        </w:rPr>
        <w:t>غواتيمالا</w:t>
      </w:r>
    </w:p>
    <w:p w:rsidR="00671AA7" w:rsidRDefault="00671AA7" w:rsidP="00671AA7">
      <w:pPr>
        <w:pStyle w:val="NumberedParaAR"/>
        <w:numPr>
          <w:ilvl w:val="0"/>
          <w:numId w:val="0"/>
        </w:numPr>
        <w:spacing w:after="0"/>
        <w:ind w:left="1700"/>
        <w:rPr>
          <w:rtl/>
        </w:rPr>
      </w:pPr>
      <w:r>
        <w:rPr>
          <w:rFonts w:hint="cs"/>
          <w:rtl/>
        </w:rPr>
        <w:t>هندوراس</w:t>
      </w:r>
    </w:p>
    <w:p w:rsidR="00671AA7" w:rsidRDefault="00671AA7" w:rsidP="00671AA7">
      <w:pPr>
        <w:pStyle w:val="NumberedParaAR"/>
        <w:numPr>
          <w:ilvl w:val="0"/>
          <w:numId w:val="0"/>
        </w:numPr>
        <w:spacing w:after="0"/>
        <w:ind w:left="1700"/>
        <w:rPr>
          <w:rtl/>
        </w:rPr>
      </w:pPr>
      <w:r>
        <w:rPr>
          <w:rFonts w:hint="cs"/>
          <w:rtl/>
        </w:rPr>
        <w:t>جمهورية لاو الديمقراطية الشعبية</w:t>
      </w:r>
    </w:p>
    <w:p w:rsidR="00671AA7" w:rsidRDefault="00671AA7" w:rsidP="00671AA7">
      <w:pPr>
        <w:pStyle w:val="NumberedParaAR"/>
        <w:numPr>
          <w:ilvl w:val="0"/>
          <w:numId w:val="0"/>
        </w:numPr>
        <w:spacing w:after="0"/>
        <w:ind w:left="1700"/>
        <w:rPr>
          <w:rtl/>
        </w:rPr>
      </w:pPr>
      <w:r>
        <w:rPr>
          <w:rFonts w:hint="cs"/>
          <w:rtl/>
        </w:rPr>
        <w:t>موريتانيا</w:t>
      </w:r>
    </w:p>
    <w:p w:rsidR="00671AA7" w:rsidRDefault="00671AA7" w:rsidP="00671AA7">
      <w:pPr>
        <w:pStyle w:val="NumberedParaAR"/>
        <w:numPr>
          <w:ilvl w:val="0"/>
          <w:numId w:val="0"/>
        </w:numPr>
        <w:spacing w:after="0"/>
        <w:ind w:left="1700"/>
        <w:rPr>
          <w:rtl/>
        </w:rPr>
      </w:pPr>
      <w:r>
        <w:rPr>
          <w:rFonts w:hint="cs"/>
          <w:rtl/>
        </w:rPr>
        <w:t>نيكاراغوا</w:t>
      </w:r>
    </w:p>
    <w:p w:rsidR="00671AA7" w:rsidRDefault="00671AA7" w:rsidP="00671AA7">
      <w:pPr>
        <w:pStyle w:val="NumberedParaAR"/>
        <w:numPr>
          <w:ilvl w:val="0"/>
          <w:numId w:val="0"/>
        </w:numPr>
        <w:spacing w:after="0"/>
        <w:ind w:left="1700"/>
        <w:rPr>
          <w:rtl/>
        </w:rPr>
      </w:pPr>
      <w:r>
        <w:rPr>
          <w:rFonts w:hint="cs"/>
          <w:rtl/>
        </w:rPr>
        <w:lastRenderedPageBreak/>
        <w:t>بيرو</w:t>
      </w:r>
    </w:p>
    <w:p w:rsidR="00671AA7" w:rsidRDefault="00671AA7" w:rsidP="00671AA7">
      <w:pPr>
        <w:pStyle w:val="NumberedParaAR"/>
        <w:numPr>
          <w:ilvl w:val="0"/>
          <w:numId w:val="0"/>
        </w:numPr>
        <w:spacing w:after="0"/>
        <w:ind w:left="1700"/>
        <w:rPr>
          <w:rtl/>
        </w:rPr>
      </w:pPr>
      <w:r>
        <w:rPr>
          <w:rFonts w:hint="cs"/>
          <w:rtl/>
        </w:rPr>
        <w:t>رومانيا</w:t>
      </w:r>
    </w:p>
    <w:p w:rsidR="00671AA7" w:rsidRDefault="00671AA7" w:rsidP="00671AA7">
      <w:pPr>
        <w:pStyle w:val="NumberedParaAR"/>
        <w:numPr>
          <w:ilvl w:val="0"/>
          <w:numId w:val="0"/>
        </w:numPr>
        <w:spacing w:after="0"/>
        <w:ind w:left="1700"/>
        <w:rPr>
          <w:rtl/>
        </w:rPr>
      </w:pPr>
      <w:r>
        <w:rPr>
          <w:rFonts w:hint="cs"/>
          <w:rtl/>
        </w:rPr>
        <w:t>ساموا</w:t>
      </w:r>
    </w:p>
    <w:p w:rsidR="00671AA7" w:rsidRDefault="00671AA7" w:rsidP="00671AA7">
      <w:pPr>
        <w:pStyle w:val="NumberedParaAR"/>
        <w:numPr>
          <w:ilvl w:val="0"/>
          <w:numId w:val="0"/>
        </w:numPr>
        <w:spacing w:after="0"/>
        <w:ind w:left="1700"/>
        <w:rPr>
          <w:rtl/>
        </w:rPr>
      </w:pPr>
      <w:r>
        <w:rPr>
          <w:rFonts w:hint="cs"/>
          <w:rtl/>
        </w:rPr>
        <w:t>سيشيل</w:t>
      </w:r>
    </w:p>
    <w:p w:rsidR="00671AA7" w:rsidRDefault="00671AA7" w:rsidP="00671AA7">
      <w:pPr>
        <w:pStyle w:val="NumberedParaAR"/>
        <w:numPr>
          <w:ilvl w:val="0"/>
          <w:numId w:val="0"/>
        </w:numPr>
        <w:spacing w:after="0"/>
        <w:ind w:left="1700"/>
        <w:rPr>
          <w:rtl/>
        </w:rPr>
      </w:pPr>
      <w:r>
        <w:rPr>
          <w:rFonts w:hint="cs"/>
          <w:rtl/>
        </w:rPr>
        <w:t>سري لانكا</w:t>
      </w:r>
    </w:p>
    <w:p w:rsidR="00671AA7" w:rsidRDefault="00671AA7" w:rsidP="00671AA7">
      <w:pPr>
        <w:pStyle w:val="NumberedParaAR"/>
        <w:numPr>
          <w:ilvl w:val="0"/>
          <w:numId w:val="0"/>
        </w:numPr>
        <w:spacing w:after="0"/>
        <w:ind w:left="1700"/>
        <w:rPr>
          <w:rtl/>
        </w:rPr>
      </w:pPr>
      <w:r>
        <w:rPr>
          <w:rFonts w:hint="cs"/>
          <w:rtl/>
        </w:rPr>
        <w:t>سوازيلند</w:t>
      </w:r>
    </w:p>
    <w:p w:rsidR="00F4020F" w:rsidRDefault="00671AA7" w:rsidP="00671AA7">
      <w:pPr>
        <w:pStyle w:val="NumberedParaAR"/>
        <w:numPr>
          <w:ilvl w:val="0"/>
          <w:numId w:val="0"/>
        </w:numPr>
        <w:ind w:left="1700"/>
        <w:rPr>
          <w:rtl/>
        </w:rPr>
      </w:pPr>
      <w:r>
        <w:rPr>
          <w:rFonts w:hint="cs"/>
          <w:rtl/>
        </w:rPr>
        <w:t>الولايات المتحدة الأمريكية</w:t>
      </w:r>
    </w:p>
    <w:p w:rsidR="00F4020F" w:rsidRDefault="00671AA7" w:rsidP="00671AA7">
      <w:pPr>
        <w:pStyle w:val="NumberedParaAR"/>
        <w:numPr>
          <w:ilvl w:val="0"/>
          <w:numId w:val="0"/>
        </w:numPr>
        <w:ind w:left="1700" w:hanging="567"/>
        <w:rPr>
          <w:rtl/>
        </w:rPr>
      </w:pPr>
      <w:r>
        <w:rPr>
          <w:rFonts w:hint="cs"/>
          <w:rtl/>
        </w:rPr>
        <w:t>"3"</w:t>
      </w:r>
      <w:r>
        <w:rPr>
          <w:rFonts w:hint="cs"/>
          <w:rtl/>
        </w:rPr>
        <w:tab/>
      </w:r>
      <w:r w:rsidR="00F4020F">
        <w:rPr>
          <w:rFonts w:hint="cs"/>
          <w:rtl/>
        </w:rPr>
        <w:t xml:space="preserve">وأحاطت اللجنة علما بأن وفد </w:t>
      </w:r>
      <w:r w:rsidR="00E03E06">
        <w:rPr>
          <w:rFonts w:hint="cs"/>
          <w:rtl/>
        </w:rPr>
        <w:t>النمسا أعرب عن رغبته في أن يدرج اسم بلده</w:t>
      </w:r>
      <w:r>
        <w:rPr>
          <w:rFonts w:hint="cs"/>
          <w:rtl/>
        </w:rPr>
        <w:t xml:space="preserve"> في الفقرة</w:t>
      </w:r>
      <w:r>
        <w:rPr>
          <w:rFonts w:hint="eastAsia"/>
          <w:rtl/>
        </w:rPr>
        <w:t> </w:t>
      </w:r>
      <w:r>
        <w:rPr>
          <w:rFonts w:hint="cs"/>
          <w:rtl/>
        </w:rPr>
        <w:t>7(أ)"2" من تقرير اللجنة الأول عوضا عن الفقرة 7(أ)"1".</w:t>
      </w:r>
    </w:p>
    <w:p w:rsidR="00F4020F" w:rsidRDefault="00F4020F" w:rsidP="00671AA7">
      <w:pPr>
        <w:pStyle w:val="NormalParaAR"/>
        <w:keepNext/>
        <w:spacing w:after="120"/>
        <w:ind w:left="6" w:firstLine="567"/>
      </w:pPr>
      <w:r>
        <w:rPr>
          <w:rtl/>
        </w:rPr>
        <w:t>(</w:t>
      </w:r>
      <w:r>
        <w:rPr>
          <w:rFonts w:hint="cs"/>
          <w:rtl/>
        </w:rPr>
        <w:t>ب</w:t>
      </w:r>
      <w:r>
        <w:rPr>
          <w:rtl/>
        </w:rPr>
        <w:t>)</w:t>
      </w:r>
      <w:r>
        <w:rPr>
          <w:rtl/>
        </w:rPr>
        <w:tab/>
        <w:t xml:space="preserve">بالنسبة إلى </w:t>
      </w:r>
      <w:r w:rsidRPr="00E03E06">
        <w:rPr>
          <w:rFonts w:hint="cs"/>
          <w:i/>
          <w:iCs/>
          <w:rtl/>
        </w:rPr>
        <w:t>المراقبين</w:t>
      </w:r>
      <w:r>
        <w:rPr>
          <w:rtl/>
        </w:rPr>
        <w:t>،</w:t>
      </w:r>
      <w:r>
        <w:rPr>
          <w:rFonts w:hint="cs"/>
          <w:rtl/>
        </w:rPr>
        <w:t xml:space="preserve"> </w:t>
      </w:r>
      <w:r w:rsidRPr="00492736">
        <w:rPr>
          <w:rtl/>
        </w:rPr>
        <w:t xml:space="preserve">خطابات أو وثائق تعيين ممثلي </w:t>
      </w:r>
      <w:r>
        <w:rPr>
          <w:rFonts w:hint="cs"/>
          <w:rtl/>
        </w:rPr>
        <w:t>المنظمات غير الحكومية (</w:t>
      </w:r>
      <w:r w:rsidR="00671AA7">
        <w:rPr>
          <w:rFonts w:hint="cs"/>
          <w:rtl/>
        </w:rPr>
        <w:t>5</w:t>
      </w:r>
      <w:r>
        <w:rPr>
          <w:rFonts w:hint="cs"/>
          <w:rtl/>
        </w:rPr>
        <w:t>) التالية:</w:t>
      </w:r>
    </w:p>
    <w:p w:rsidR="00F4020F" w:rsidRPr="00AF2650" w:rsidRDefault="00671AA7" w:rsidP="00C1509C">
      <w:pPr>
        <w:pStyle w:val="NormalParaAR"/>
        <w:ind w:left="567" w:firstLine="567"/>
        <w:rPr>
          <w:rFonts w:hAnsi="Courier New"/>
          <w:highlight w:val="yellow"/>
          <w:rtl/>
        </w:rPr>
      </w:pPr>
      <w:r w:rsidRPr="00AF2650">
        <w:rPr>
          <w:rFonts w:hint="cs"/>
          <w:rtl/>
        </w:rPr>
        <w:t>الفدرالية الفرنس</w:t>
      </w:r>
      <w:r w:rsidR="00AF2650" w:rsidRPr="00AF2650">
        <w:rPr>
          <w:rFonts w:hint="cs"/>
          <w:rtl/>
        </w:rPr>
        <w:t>ي</w:t>
      </w:r>
      <w:r w:rsidRPr="00AF2650">
        <w:rPr>
          <w:rFonts w:hint="cs"/>
          <w:rtl/>
        </w:rPr>
        <w:t xml:space="preserve">ة للنهوض الاجتماعي للمكفوفين </w:t>
      </w:r>
      <w:r w:rsidR="00AF2650" w:rsidRPr="00AF2650">
        <w:rPr>
          <w:rFonts w:hint="cs"/>
          <w:rtl/>
        </w:rPr>
        <w:t>والمصابين بالكَمِش</w:t>
      </w:r>
      <w:r w:rsidR="00C1509C">
        <w:rPr>
          <w:rFonts w:hint="eastAsia"/>
          <w:rtl/>
          <w:lang w:val="fr-CH"/>
        </w:rPr>
        <w:t> </w:t>
      </w:r>
      <w:r w:rsidR="00F4020F" w:rsidRPr="00AF2650">
        <w:t>(</w:t>
      </w:r>
      <w:r w:rsidR="00AF2650" w:rsidRPr="00AF2650">
        <w:t>CFPSAA</w:t>
      </w:r>
      <w:r w:rsidR="00F4020F" w:rsidRPr="00AF2650">
        <w:t>)</w:t>
      </w:r>
      <w:r w:rsidR="00AF2650">
        <w:rPr>
          <w:rFonts w:hint="cs"/>
          <w:rtl/>
        </w:rPr>
        <w:t>؛ ونادي الأشخاص ذوي الاحتياجات الخاصة في منطقة بريفيزا؛ والمبادرة العالمية لتكنولوجيات المعلومات والاتصالات الجامعة</w:t>
      </w:r>
      <w:r w:rsidR="00C1509C">
        <w:rPr>
          <w:rFonts w:hint="eastAsia"/>
          <w:rtl/>
        </w:rPr>
        <w:t> </w:t>
      </w:r>
      <w:r w:rsidR="00AF2650">
        <w:rPr>
          <w:lang w:val="fr-CH"/>
        </w:rPr>
        <w:t>(G3ict)</w:t>
      </w:r>
      <w:r w:rsidR="00AF2650">
        <w:rPr>
          <w:rFonts w:hint="cs"/>
          <w:rtl/>
          <w:lang w:val="fr-CH"/>
        </w:rPr>
        <w:t>؛ وعصبة برايل المغرب</w:t>
      </w:r>
      <w:r w:rsidR="00C1509C">
        <w:rPr>
          <w:rFonts w:hint="eastAsia"/>
          <w:rtl/>
          <w:lang w:val="fr-CH"/>
        </w:rPr>
        <w:t> </w:t>
      </w:r>
      <w:r w:rsidR="00AF2650">
        <w:rPr>
          <w:lang w:val="fr-CH"/>
        </w:rPr>
        <w:t>(LBM)</w:t>
      </w:r>
      <w:r w:rsidR="00AF2650">
        <w:rPr>
          <w:rFonts w:hint="cs"/>
          <w:rtl/>
        </w:rPr>
        <w:t>؛ و</w:t>
      </w:r>
      <w:r w:rsidRPr="00671AA7">
        <w:rPr>
          <w:rFonts w:hAnsi="Courier New"/>
          <w:rtl/>
        </w:rPr>
        <w:t>المجموعة الدولية لدور النشر العلمية والتقنية والطبية</w:t>
      </w:r>
      <w:r w:rsidR="00C1509C">
        <w:rPr>
          <w:rFonts w:hAnsi="Courier New" w:hint="cs"/>
          <w:rtl/>
        </w:rPr>
        <w:t> </w:t>
      </w:r>
      <w:r w:rsidRPr="00671AA7">
        <w:rPr>
          <w:rFonts w:hAnsi="Courier New"/>
          <w:rtl/>
        </w:rPr>
        <w:t>(</w:t>
      </w:r>
      <w:r w:rsidRPr="00671AA7">
        <w:rPr>
          <w:rFonts w:hAnsi="Courier New"/>
        </w:rPr>
        <w:t>STM</w:t>
      </w:r>
      <w:r w:rsidRPr="00671AA7">
        <w:rPr>
          <w:rFonts w:hAnsi="Courier New"/>
          <w:rtl/>
        </w:rPr>
        <w:t>)</w:t>
      </w:r>
      <w:r w:rsidR="00C1509C">
        <w:rPr>
          <w:rFonts w:hAnsi="Courier New" w:hint="cs"/>
          <w:rtl/>
        </w:rPr>
        <w:t>.</w:t>
      </w:r>
    </w:p>
    <w:p w:rsidR="00F4020F" w:rsidRPr="00EE50E1" w:rsidRDefault="00F4020F" w:rsidP="00CB3497">
      <w:pPr>
        <w:pStyle w:val="NumberedParaAR"/>
        <w:rPr>
          <w:spacing w:val="-2"/>
          <w:rtl/>
        </w:rPr>
      </w:pPr>
      <w:r w:rsidRPr="00EE50E1">
        <w:rPr>
          <w:spacing w:val="-2"/>
          <w:rtl/>
        </w:rPr>
        <w:t>وتوصي اللجنةُ المؤتمر المنعقد في جلسة عامة بأن يقبل أوراق الاعتماد والتفويض الكامل للوفود الوارد ذكرها في الفقرة</w:t>
      </w:r>
      <w:r w:rsidR="00CB3497" w:rsidRPr="00EE50E1">
        <w:rPr>
          <w:rFonts w:hint="cs"/>
          <w:spacing w:val="-2"/>
          <w:rtl/>
        </w:rPr>
        <w:t> </w:t>
      </w:r>
      <w:r w:rsidRPr="00EE50E1">
        <w:rPr>
          <w:spacing w:val="-2"/>
          <w:rtl/>
        </w:rPr>
        <w:t>5(أ)</w:t>
      </w:r>
      <w:r w:rsidRPr="00EE50E1">
        <w:rPr>
          <w:rFonts w:hint="cs"/>
          <w:spacing w:val="-2"/>
          <w:rtl/>
        </w:rPr>
        <w:t>"1"</w:t>
      </w:r>
      <w:r w:rsidRPr="00EE50E1">
        <w:rPr>
          <w:spacing w:val="-2"/>
          <w:rtl/>
        </w:rPr>
        <w:t xml:space="preserve"> أعلاه، وأوراق الاعتماد للوفود الوارد ذكرها في الفقرة 5(</w:t>
      </w:r>
      <w:r w:rsidRPr="00EE50E1">
        <w:rPr>
          <w:rFonts w:hint="cs"/>
          <w:spacing w:val="-2"/>
          <w:rtl/>
        </w:rPr>
        <w:t>أ</w:t>
      </w:r>
      <w:r w:rsidRPr="00EE50E1">
        <w:rPr>
          <w:spacing w:val="-2"/>
          <w:rtl/>
        </w:rPr>
        <w:t>)</w:t>
      </w:r>
      <w:r w:rsidRPr="00EE50E1">
        <w:rPr>
          <w:rFonts w:hint="cs"/>
          <w:spacing w:val="-2"/>
          <w:rtl/>
        </w:rPr>
        <w:t>"2"</w:t>
      </w:r>
      <w:r w:rsidRPr="00EE50E1">
        <w:rPr>
          <w:spacing w:val="-2"/>
          <w:rtl/>
        </w:rPr>
        <w:t xml:space="preserve"> أعلاه، </w:t>
      </w:r>
      <w:r w:rsidRPr="00EE50E1">
        <w:rPr>
          <w:rFonts w:hint="cs"/>
          <w:spacing w:val="-2"/>
          <w:rtl/>
        </w:rPr>
        <w:t>وخطابات التعيين المذكورة في الفقرة 5(ب) أعلاه.</w:t>
      </w:r>
    </w:p>
    <w:p w:rsidR="00F4020F" w:rsidRDefault="00F4020F" w:rsidP="00F4020F">
      <w:pPr>
        <w:pStyle w:val="NumberedParaAR"/>
      </w:pPr>
      <w:r>
        <w:rPr>
          <w:rtl/>
        </w:rPr>
        <w:t>وقررت اللجنة أن تعد الأمانة تقريرا عن اجتماعها وتصدره كتقرير لها، على أن يقدّمه رئيس اللجنة إلى المؤتمر المنعقد في جلسة عامة.</w:t>
      </w:r>
    </w:p>
    <w:p w:rsidR="00EE50E1" w:rsidRDefault="009B4133" w:rsidP="00E03E06">
      <w:pPr>
        <w:pStyle w:val="NumberedParaAR"/>
      </w:pPr>
      <w:r>
        <w:rPr>
          <w:rFonts w:hint="cs"/>
          <w:rtl/>
        </w:rPr>
        <w:t xml:space="preserve">وأجازت اللجنة لرئيسها </w:t>
      </w:r>
      <w:r w:rsidR="00E03E06">
        <w:rPr>
          <w:rFonts w:hint="cs"/>
          <w:rtl/>
        </w:rPr>
        <w:t>أن</w:t>
      </w:r>
      <w:r w:rsidR="00EE50E1">
        <w:rPr>
          <w:rFonts w:hint="cs"/>
          <w:rtl/>
        </w:rPr>
        <w:t xml:space="preserve"> يفحص أية تبليغات أخرى بشأن الوفود الأعضاء والوفد الخاص والوفود المراقبة أو الهيئات المراقبة، التي قد تستلمها الأمانة بعد إقفال اجتماعها الثاني، وإعداد تقرير عن ذلك إلى المؤتمر المنعقد في جلسة عامة، ما</w:t>
      </w:r>
      <w:r w:rsidR="00EE50E1">
        <w:rPr>
          <w:rFonts w:hint="eastAsia"/>
          <w:rtl/>
        </w:rPr>
        <w:t> </w:t>
      </w:r>
      <w:r w:rsidR="00EE50E1">
        <w:rPr>
          <w:rFonts w:hint="cs"/>
          <w:rtl/>
        </w:rPr>
        <w:t>لم يعتبر الرئيس أن من الضروري عقد اجتماع للجنة من أجل فحص تلك التبليغات وتقديم تقرير بشأنها.</w:t>
      </w:r>
    </w:p>
    <w:p w:rsidR="00F4020F" w:rsidRDefault="00F4020F" w:rsidP="00F4020F">
      <w:pPr>
        <w:pStyle w:val="NumberedParaAR"/>
        <w:spacing w:after="120"/>
      </w:pPr>
      <w:r>
        <w:rPr>
          <w:rFonts w:hint="cs"/>
          <w:rtl/>
        </w:rPr>
        <w:t>ومن باب التذكير، يشار إلى أن الأعضاء والوفود الخاصة التالية قد قدّمت أوراق اعتمادها أو تفويضها الكامل أو الاثنين معا</w:t>
      </w:r>
      <w:r w:rsidR="00FE6C04">
        <w:rPr>
          <w:rFonts w:hint="cs"/>
          <w:rtl/>
        </w:rPr>
        <w:t>،</w:t>
      </w:r>
      <w:r w:rsidR="00E03E06">
        <w:rPr>
          <w:rFonts w:hint="cs"/>
          <w:rtl/>
        </w:rPr>
        <w:t xml:space="preserve"> </w:t>
      </w:r>
      <w:r w:rsidR="00FE6C04">
        <w:rPr>
          <w:rFonts w:hint="cs"/>
          <w:rtl/>
        </w:rPr>
        <w:t>وهي كلها سليمة</w:t>
      </w:r>
      <w:r>
        <w:rPr>
          <w:rFonts w:hint="cs"/>
          <w:rtl/>
        </w:rPr>
        <w:t>:</w:t>
      </w:r>
    </w:p>
    <w:p w:rsidR="00F4020F" w:rsidRDefault="00F4020F" w:rsidP="00EA3063">
      <w:pPr>
        <w:pStyle w:val="NumberedParaAR"/>
        <w:numPr>
          <w:ilvl w:val="0"/>
          <w:numId w:val="0"/>
        </w:numPr>
        <w:ind w:firstLine="566"/>
        <w:rPr>
          <w:rtl/>
        </w:rPr>
      </w:pPr>
      <w:r>
        <w:rPr>
          <w:rFonts w:hint="cs"/>
          <w:rtl/>
        </w:rPr>
        <w:t>(أ)</w:t>
      </w:r>
      <w:r>
        <w:rPr>
          <w:rFonts w:hint="cs"/>
          <w:rtl/>
        </w:rPr>
        <w:tab/>
      </w:r>
      <w:r w:rsidRPr="0018186D">
        <w:rPr>
          <w:i/>
          <w:iCs/>
          <w:rtl/>
        </w:rPr>
        <w:t>أوراق الاعتماد والتفويض الكامل</w:t>
      </w:r>
      <w:r>
        <w:rPr>
          <w:rtl/>
        </w:rPr>
        <w:t xml:space="preserve"> (أي أوراق الاعتماد للمشاركة في المؤتمر والتوقيع على وثيقته الختامية والتفويض الكامل للتوقيع على المعاهدة التي سيعتمدها المؤتمر الدبلوماسي) لوفود </w:t>
      </w:r>
      <w:r>
        <w:rPr>
          <w:rFonts w:hint="cs"/>
          <w:rtl/>
        </w:rPr>
        <w:t>الدول التالي ذكرها</w:t>
      </w:r>
      <w:r w:rsidR="00D91D62">
        <w:rPr>
          <w:rFonts w:hint="cs"/>
          <w:rtl/>
        </w:rPr>
        <w:t xml:space="preserve"> (</w:t>
      </w:r>
      <w:r w:rsidR="00EA3063">
        <w:rPr>
          <w:rFonts w:hint="cs"/>
          <w:rtl/>
        </w:rPr>
        <w:t>47</w:t>
      </w:r>
      <w:r w:rsidR="00D91D62">
        <w:rPr>
          <w:rFonts w:hint="cs"/>
          <w:rtl/>
        </w:rPr>
        <w:t xml:space="preserve"> دولة)</w:t>
      </w:r>
      <w:r>
        <w:rPr>
          <w:rFonts w:hint="cs"/>
          <w:rtl/>
        </w:rPr>
        <w:t xml:space="preserve">: </w:t>
      </w:r>
    </w:p>
    <w:p w:rsidR="00C4617C" w:rsidRDefault="00C4617C" w:rsidP="00D91D62">
      <w:pPr>
        <w:pStyle w:val="NormalParaAR"/>
        <w:spacing w:after="0"/>
        <w:ind w:left="1700"/>
        <w:rPr>
          <w:rtl/>
        </w:rPr>
        <w:sectPr w:rsidR="00C4617C" w:rsidSect="00EB7752">
          <w:headerReference w:type="default" r:id="rId10"/>
          <w:pgSz w:w="11907" w:h="16840" w:code="9"/>
          <w:pgMar w:top="567" w:right="1418" w:bottom="1418" w:left="1134" w:header="510" w:footer="1021" w:gutter="0"/>
          <w:cols w:space="720"/>
          <w:titlePg/>
          <w:docGrid w:linePitch="299"/>
        </w:sectPr>
      </w:pPr>
    </w:p>
    <w:p w:rsidR="00D91D62" w:rsidRDefault="00D91D62" w:rsidP="00D91D62">
      <w:pPr>
        <w:pStyle w:val="NormalParaAR"/>
        <w:spacing w:after="0"/>
        <w:ind w:left="1700"/>
        <w:rPr>
          <w:rtl/>
        </w:rPr>
      </w:pPr>
      <w:r>
        <w:rPr>
          <w:rFonts w:hint="cs"/>
          <w:rtl/>
        </w:rPr>
        <w:lastRenderedPageBreak/>
        <w:t>البوسنة والهرسك</w:t>
      </w:r>
    </w:p>
    <w:p w:rsidR="00D91D62" w:rsidRDefault="00D91D62" w:rsidP="00D91D62">
      <w:pPr>
        <w:pStyle w:val="NormalParaAR"/>
        <w:spacing w:after="0"/>
        <w:ind w:left="1700"/>
        <w:rPr>
          <w:rtl/>
        </w:rPr>
      </w:pPr>
      <w:r>
        <w:rPr>
          <w:rtl/>
        </w:rPr>
        <w:t>بوركينا فا</w:t>
      </w:r>
      <w:r>
        <w:rPr>
          <w:rFonts w:hint="cs"/>
          <w:rtl/>
        </w:rPr>
        <w:t>ص</w:t>
      </w:r>
      <w:r>
        <w:rPr>
          <w:rtl/>
        </w:rPr>
        <w:t>و</w:t>
      </w:r>
    </w:p>
    <w:p w:rsidR="00D91D62" w:rsidRDefault="00D91D62" w:rsidP="00D91D62">
      <w:pPr>
        <w:pStyle w:val="NormalParaAR"/>
        <w:spacing w:after="0"/>
        <w:ind w:left="1700"/>
        <w:rPr>
          <w:rtl/>
        </w:rPr>
      </w:pPr>
      <w:r>
        <w:rPr>
          <w:rFonts w:hint="cs"/>
          <w:rtl/>
        </w:rPr>
        <w:t>بوروندي</w:t>
      </w:r>
    </w:p>
    <w:p w:rsidR="00D91D62" w:rsidRDefault="00D91D62" w:rsidP="00D91D62">
      <w:pPr>
        <w:pStyle w:val="NormalParaAR"/>
        <w:spacing w:after="0"/>
        <w:ind w:left="1700"/>
        <w:rPr>
          <w:rtl/>
        </w:rPr>
      </w:pPr>
      <w:r>
        <w:rPr>
          <w:rFonts w:hint="cs"/>
          <w:rtl/>
        </w:rPr>
        <w:t>البرازيل</w:t>
      </w:r>
    </w:p>
    <w:p w:rsidR="00D91D62" w:rsidRDefault="00D91D62" w:rsidP="00D91D62">
      <w:pPr>
        <w:pStyle w:val="NormalParaAR"/>
        <w:spacing w:after="0"/>
        <w:ind w:left="1700"/>
        <w:rPr>
          <w:rtl/>
        </w:rPr>
      </w:pPr>
      <w:r>
        <w:rPr>
          <w:rFonts w:hint="cs"/>
          <w:rtl/>
        </w:rPr>
        <w:t>كمبوديا</w:t>
      </w:r>
    </w:p>
    <w:p w:rsidR="00D91D62" w:rsidRDefault="00D91D62" w:rsidP="00D91D62">
      <w:pPr>
        <w:pStyle w:val="NormalParaAR"/>
        <w:spacing w:after="0"/>
        <w:ind w:left="1700"/>
        <w:rPr>
          <w:rtl/>
        </w:rPr>
      </w:pPr>
      <w:r>
        <w:rPr>
          <w:rFonts w:hint="cs"/>
          <w:rtl/>
        </w:rPr>
        <w:t>كاميرون</w:t>
      </w:r>
    </w:p>
    <w:p w:rsidR="00D91D62" w:rsidRDefault="00D91D62" w:rsidP="00D91D62">
      <w:pPr>
        <w:pStyle w:val="NormalParaAR"/>
        <w:spacing w:after="0"/>
        <w:ind w:left="1700"/>
        <w:rPr>
          <w:rtl/>
        </w:rPr>
      </w:pPr>
      <w:r>
        <w:rPr>
          <w:rFonts w:hint="cs"/>
          <w:rtl/>
        </w:rPr>
        <w:t>جمهورية أفريقيا الوسطى</w:t>
      </w:r>
    </w:p>
    <w:p w:rsidR="00D91D62" w:rsidRDefault="00D91D62" w:rsidP="00D91D62">
      <w:pPr>
        <w:pStyle w:val="NormalParaAR"/>
        <w:spacing w:after="0"/>
        <w:ind w:left="1700"/>
        <w:rPr>
          <w:rtl/>
        </w:rPr>
      </w:pPr>
      <w:r>
        <w:rPr>
          <w:rFonts w:hint="cs"/>
          <w:rtl/>
        </w:rPr>
        <w:t>تشاد</w:t>
      </w:r>
    </w:p>
    <w:p w:rsidR="00D91D62" w:rsidRDefault="00D91D62" w:rsidP="00D91D62">
      <w:pPr>
        <w:pStyle w:val="NormalParaAR"/>
        <w:spacing w:after="0"/>
        <w:ind w:left="1700"/>
        <w:rPr>
          <w:rtl/>
        </w:rPr>
      </w:pPr>
      <w:r>
        <w:rPr>
          <w:rFonts w:hint="cs"/>
          <w:rtl/>
        </w:rPr>
        <w:lastRenderedPageBreak/>
        <w:t>شيلي</w:t>
      </w:r>
    </w:p>
    <w:p w:rsidR="00D91D62" w:rsidRDefault="00D91D62" w:rsidP="00D91D62">
      <w:pPr>
        <w:pStyle w:val="NormalParaAR"/>
        <w:spacing w:after="0"/>
        <w:ind w:left="1700"/>
        <w:rPr>
          <w:rtl/>
        </w:rPr>
      </w:pPr>
      <w:r>
        <w:rPr>
          <w:rFonts w:hint="cs"/>
          <w:rtl/>
        </w:rPr>
        <w:t>كولومبيا</w:t>
      </w:r>
    </w:p>
    <w:p w:rsidR="00D91D62" w:rsidRDefault="00D91D62" w:rsidP="00D91D62">
      <w:pPr>
        <w:pStyle w:val="NormalParaAR"/>
        <w:spacing w:after="0"/>
        <w:ind w:left="1700"/>
        <w:rPr>
          <w:rtl/>
        </w:rPr>
      </w:pPr>
      <w:r>
        <w:rPr>
          <w:rFonts w:hint="cs"/>
          <w:rtl/>
        </w:rPr>
        <w:t>جزر القمر</w:t>
      </w:r>
    </w:p>
    <w:p w:rsidR="00D91D62" w:rsidRDefault="00D91D62" w:rsidP="00D91D62">
      <w:pPr>
        <w:pStyle w:val="NormalParaAR"/>
        <w:spacing w:after="0"/>
        <w:ind w:left="1700"/>
        <w:rPr>
          <w:rtl/>
        </w:rPr>
      </w:pPr>
      <w:r>
        <w:rPr>
          <w:rtl/>
        </w:rPr>
        <w:t>الكونغو</w:t>
      </w:r>
    </w:p>
    <w:p w:rsidR="00D91D62" w:rsidRDefault="00D91D62" w:rsidP="00D91D62">
      <w:pPr>
        <w:pStyle w:val="NormalParaAR"/>
        <w:spacing w:after="0"/>
        <w:ind w:left="1700"/>
        <w:rPr>
          <w:rtl/>
        </w:rPr>
      </w:pPr>
      <w:r>
        <w:rPr>
          <w:rFonts w:hint="cs"/>
          <w:rtl/>
        </w:rPr>
        <w:t>كوستا ريكا</w:t>
      </w:r>
    </w:p>
    <w:p w:rsidR="00D91D62" w:rsidRDefault="00D91D62" w:rsidP="00D91D62">
      <w:pPr>
        <w:pStyle w:val="NormalParaAR"/>
        <w:spacing w:after="0"/>
        <w:ind w:left="1700"/>
        <w:rPr>
          <w:rtl/>
        </w:rPr>
      </w:pPr>
      <w:r>
        <w:rPr>
          <w:rFonts w:hint="cs"/>
          <w:rtl/>
        </w:rPr>
        <w:t>كوت ديفوار</w:t>
      </w:r>
    </w:p>
    <w:p w:rsidR="00D91D62" w:rsidRDefault="00D91D62" w:rsidP="00D91D62">
      <w:pPr>
        <w:pStyle w:val="NormalParaAR"/>
        <w:spacing w:after="0"/>
        <w:ind w:left="1700"/>
        <w:rPr>
          <w:rtl/>
        </w:rPr>
      </w:pPr>
      <w:r>
        <w:rPr>
          <w:rFonts w:hint="cs"/>
          <w:rtl/>
        </w:rPr>
        <w:t>جمهورية كوريا الشعبية الديمقراطية</w:t>
      </w:r>
    </w:p>
    <w:p w:rsidR="00D91D62" w:rsidRDefault="00D91D62" w:rsidP="00D91D62">
      <w:pPr>
        <w:pStyle w:val="NormalParaAR"/>
        <w:spacing w:after="0"/>
        <w:ind w:left="1700"/>
        <w:rPr>
          <w:rtl/>
        </w:rPr>
      </w:pPr>
      <w:r>
        <w:rPr>
          <w:rtl/>
        </w:rPr>
        <w:t>الدانمرك</w:t>
      </w:r>
    </w:p>
    <w:p w:rsidR="00D91D62" w:rsidRDefault="00D91D62" w:rsidP="00D91D62">
      <w:pPr>
        <w:pStyle w:val="NormalParaAR"/>
        <w:spacing w:after="0"/>
        <w:ind w:left="1700"/>
        <w:rPr>
          <w:rtl/>
        </w:rPr>
      </w:pPr>
      <w:r>
        <w:rPr>
          <w:rFonts w:hint="cs"/>
          <w:rtl/>
        </w:rPr>
        <w:lastRenderedPageBreak/>
        <w:t>جيبوتي</w:t>
      </w:r>
    </w:p>
    <w:p w:rsidR="00D91D62" w:rsidRDefault="00D91D62" w:rsidP="00D91D62">
      <w:pPr>
        <w:pStyle w:val="NormalParaAR"/>
        <w:spacing w:after="0"/>
        <w:ind w:left="1700"/>
        <w:rPr>
          <w:rtl/>
        </w:rPr>
      </w:pPr>
      <w:r>
        <w:rPr>
          <w:rFonts w:hint="cs"/>
          <w:rtl/>
        </w:rPr>
        <w:t>الجمهورية الدومينيكية</w:t>
      </w:r>
    </w:p>
    <w:p w:rsidR="00D91D62" w:rsidRDefault="00D91D62" w:rsidP="00D91D62">
      <w:pPr>
        <w:pStyle w:val="NormalParaAR"/>
        <w:spacing w:after="0"/>
        <w:ind w:left="1700"/>
        <w:rPr>
          <w:rtl/>
        </w:rPr>
      </w:pPr>
      <w:r>
        <w:rPr>
          <w:rtl/>
        </w:rPr>
        <w:t>غانا</w:t>
      </w:r>
    </w:p>
    <w:p w:rsidR="00D91D62" w:rsidRDefault="00D91D62" w:rsidP="00D91D62">
      <w:pPr>
        <w:pStyle w:val="NormalParaAR"/>
        <w:spacing w:after="0"/>
        <w:ind w:left="1700"/>
        <w:rPr>
          <w:rtl/>
        </w:rPr>
      </w:pPr>
      <w:r>
        <w:rPr>
          <w:rFonts w:hint="cs"/>
          <w:rtl/>
        </w:rPr>
        <w:t>غينيا</w:t>
      </w:r>
    </w:p>
    <w:p w:rsidR="00D91D62" w:rsidRDefault="00D91D62" w:rsidP="00D91D62">
      <w:pPr>
        <w:pStyle w:val="NormalParaAR"/>
        <w:spacing w:after="0"/>
        <w:ind w:left="1700"/>
        <w:rPr>
          <w:rtl/>
        </w:rPr>
      </w:pPr>
      <w:r>
        <w:rPr>
          <w:rFonts w:hint="cs"/>
          <w:rtl/>
        </w:rPr>
        <w:t>هايتي</w:t>
      </w:r>
    </w:p>
    <w:p w:rsidR="00D91D62" w:rsidRDefault="00D91D62" w:rsidP="00D91D62">
      <w:pPr>
        <w:pStyle w:val="NormalParaAR"/>
        <w:spacing w:after="0"/>
        <w:ind w:left="1700"/>
        <w:rPr>
          <w:rtl/>
        </w:rPr>
      </w:pPr>
      <w:r>
        <w:rPr>
          <w:rFonts w:hint="cs"/>
          <w:rtl/>
        </w:rPr>
        <w:t>الكرسي الرسولي</w:t>
      </w:r>
    </w:p>
    <w:p w:rsidR="00E85D21" w:rsidRDefault="00E85D21" w:rsidP="00D91D62">
      <w:pPr>
        <w:pStyle w:val="NormalParaAR"/>
        <w:spacing w:after="0"/>
        <w:ind w:left="1700"/>
        <w:rPr>
          <w:rtl/>
        </w:rPr>
      </w:pPr>
      <w:r>
        <w:rPr>
          <w:rFonts w:hint="cs"/>
          <w:rtl/>
        </w:rPr>
        <w:t>الأردن</w:t>
      </w:r>
    </w:p>
    <w:p w:rsidR="00D91D62" w:rsidRDefault="00D91D62" w:rsidP="00D91D62">
      <w:pPr>
        <w:pStyle w:val="NormalParaAR"/>
        <w:spacing w:after="0"/>
        <w:ind w:left="1700"/>
        <w:rPr>
          <w:rtl/>
        </w:rPr>
      </w:pPr>
      <w:r>
        <w:rPr>
          <w:rFonts w:hint="cs"/>
          <w:rtl/>
        </w:rPr>
        <w:t>كينيا</w:t>
      </w:r>
    </w:p>
    <w:p w:rsidR="00E85D21" w:rsidRDefault="00E85D21" w:rsidP="00D91D62">
      <w:pPr>
        <w:pStyle w:val="NormalParaAR"/>
        <w:spacing w:after="0"/>
        <w:ind w:left="1700"/>
        <w:rPr>
          <w:rtl/>
        </w:rPr>
      </w:pPr>
      <w:r>
        <w:rPr>
          <w:rFonts w:hint="cs"/>
          <w:rtl/>
        </w:rPr>
        <w:t>لبنان</w:t>
      </w:r>
    </w:p>
    <w:p w:rsidR="00E85D21" w:rsidRDefault="00E85D21" w:rsidP="00D91D62">
      <w:pPr>
        <w:pStyle w:val="NormalParaAR"/>
        <w:spacing w:after="0"/>
        <w:ind w:left="1700"/>
        <w:rPr>
          <w:rtl/>
        </w:rPr>
      </w:pPr>
      <w:r>
        <w:rPr>
          <w:rFonts w:hint="cs"/>
          <w:rtl/>
        </w:rPr>
        <w:t>لكسمبرغ</w:t>
      </w:r>
    </w:p>
    <w:p w:rsidR="00E85D21" w:rsidRDefault="00E85D21" w:rsidP="00D91D62">
      <w:pPr>
        <w:pStyle w:val="NormalParaAR"/>
        <w:spacing w:after="0"/>
        <w:ind w:left="1700"/>
        <w:rPr>
          <w:rtl/>
        </w:rPr>
      </w:pPr>
      <w:r>
        <w:rPr>
          <w:rFonts w:hint="cs"/>
          <w:rtl/>
        </w:rPr>
        <w:t>مالي</w:t>
      </w:r>
    </w:p>
    <w:p w:rsidR="00D91D62" w:rsidRDefault="00D91D62" w:rsidP="00D91D62">
      <w:pPr>
        <w:pStyle w:val="NormalParaAR"/>
        <w:spacing w:after="0"/>
        <w:ind w:left="1700"/>
        <w:rPr>
          <w:rtl/>
        </w:rPr>
      </w:pPr>
      <w:r>
        <w:rPr>
          <w:rFonts w:hint="cs"/>
          <w:rtl/>
        </w:rPr>
        <w:t>مالطة</w:t>
      </w:r>
    </w:p>
    <w:p w:rsidR="00D91D62" w:rsidRDefault="00D91D62" w:rsidP="00D91D62">
      <w:pPr>
        <w:pStyle w:val="NormalParaAR"/>
        <w:spacing w:after="0"/>
        <w:ind w:left="1700"/>
        <w:rPr>
          <w:rtl/>
        </w:rPr>
      </w:pPr>
      <w:r>
        <w:rPr>
          <w:rFonts w:hint="cs"/>
          <w:rtl/>
        </w:rPr>
        <w:t>موريشيوس</w:t>
      </w:r>
    </w:p>
    <w:p w:rsidR="00C4617C" w:rsidRDefault="00C4617C" w:rsidP="00D91D62">
      <w:pPr>
        <w:pStyle w:val="NormalParaAR"/>
        <w:spacing w:after="0"/>
        <w:ind w:left="1700"/>
        <w:rPr>
          <w:rtl/>
        </w:rPr>
      </w:pPr>
      <w:r>
        <w:rPr>
          <w:rFonts w:hint="cs"/>
          <w:rtl/>
        </w:rPr>
        <w:t>منغوليا</w:t>
      </w:r>
    </w:p>
    <w:p w:rsidR="00C4617C" w:rsidRDefault="00C4617C" w:rsidP="00D91D62">
      <w:pPr>
        <w:pStyle w:val="NormalParaAR"/>
        <w:spacing w:after="0"/>
        <w:ind w:left="1700"/>
        <w:rPr>
          <w:rtl/>
        </w:rPr>
      </w:pPr>
      <w:r>
        <w:rPr>
          <w:rFonts w:hint="cs"/>
          <w:rtl/>
        </w:rPr>
        <w:t>ناميبيا</w:t>
      </w:r>
    </w:p>
    <w:p w:rsidR="00C4617C" w:rsidRDefault="00C4617C" w:rsidP="00D91D62">
      <w:pPr>
        <w:pStyle w:val="NormalParaAR"/>
        <w:spacing w:after="0"/>
        <w:ind w:left="1700"/>
        <w:rPr>
          <w:rtl/>
        </w:rPr>
      </w:pPr>
      <w:r>
        <w:rPr>
          <w:rFonts w:hint="cs"/>
          <w:rtl/>
        </w:rPr>
        <w:t>نيبال</w:t>
      </w:r>
    </w:p>
    <w:p w:rsidR="00C4617C" w:rsidRDefault="00C4617C" w:rsidP="00D91D62">
      <w:pPr>
        <w:pStyle w:val="NormalParaAR"/>
        <w:spacing w:after="0"/>
        <w:ind w:left="1700"/>
        <w:rPr>
          <w:rtl/>
        </w:rPr>
      </w:pPr>
      <w:r>
        <w:rPr>
          <w:rFonts w:hint="cs"/>
          <w:rtl/>
        </w:rPr>
        <w:lastRenderedPageBreak/>
        <w:t>بنما</w:t>
      </w:r>
    </w:p>
    <w:p w:rsidR="00D91D62" w:rsidRDefault="00C4617C" w:rsidP="00D91D62">
      <w:pPr>
        <w:pStyle w:val="NormalParaAR"/>
        <w:spacing w:after="0"/>
        <w:ind w:left="1700"/>
        <w:rPr>
          <w:rtl/>
        </w:rPr>
      </w:pPr>
      <w:r>
        <w:rPr>
          <w:rFonts w:hint="cs"/>
          <w:rtl/>
        </w:rPr>
        <w:t>باراغواي</w:t>
      </w:r>
    </w:p>
    <w:p w:rsidR="00D91D62" w:rsidRDefault="00D91D62" w:rsidP="00D91D62">
      <w:pPr>
        <w:pStyle w:val="NormalParaAR"/>
        <w:spacing w:after="0"/>
        <w:ind w:left="1700"/>
        <w:rPr>
          <w:rtl/>
        </w:rPr>
      </w:pPr>
      <w:r>
        <w:rPr>
          <w:rFonts w:hint="cs"/>
          <w:rtl/>
        </w:rPr>
        <w:t>البرتغال</w:t>
      </w:r>
    </w:p>
    <w:p w:rsidR="00D91D62" w:rsidRDefault="00D91D62" w:rsidP="00D91D62">
      <w:pPr>
        <w:pStyle w:val="NormalParaAR"/>
        <w:spacing w:after="0"/>
        <w:ind w:left="1700"/>
        <w:rPr>
          <w:rtl/>
        </w:rPr>
      </w:pPr>
      <w:r>
        <w:rPr>
          <w:rFonts w:hint="cs"/>
          <w:rtl/>
        </w:rPr>
        <w:t>جمهورية مولدوفا</w:t>
      </w:r>
    </w:p>
    <w:p w:rsidR="00C4617C" w:rsidRDefault="00C4617C" w:rsidP="00D91D62">
      <w:pPr>
        <w:pStyle w:val="NormalParaAR"/>
        <w:spacing w:after="0"/>
        <w:ind w:left="1700"/>
        <w:rPr>
          <w:rtl/>
        </w:rPr>
      </w:pPr>
      <w:r>
        <w:rPr>
          <w:rFonts w:hint="cs"/>
          <w:rtl/>
        </w:rPr>
        <w:t>سان تومي وبرينسيبي</w:t>
      </w:r>
    </w:p>
    <w:p w:rsidR="00D91D62" w:rsidRDefault="00D91D62" w:rsidP="00D91D62">
      <w:pPr>
        <w:pStyle w:val="NormalParaAR"/>
        <w:spacing w:after="0"/>
        <w:ind w:left="1700"/>
        <w:rPr>
          <w:rtl/>
        </w:rPr>
      </w:pPr>
      <w:r>
        <w:rPr>
          <w:rFonts w:hint="cs"/>
          <w:rtl/>
        </w:rPr>
        <w:t>السنغال</w:t>
      </w:r>
    </w:p>
    <w:p w:rsidR="00D91D62" w:rsidRDefault="00D91D62" w:rsidP="00D91D62">
      <w:pPr>
        <w:pStyle w:val="NormalParaAR"/>
        <w:spacing w:after="0"/>
        <w:ind w:left="1700"/>
        <w:rPr>
          <w:rtl/>
        </w:rPr>
      </w:pPr>
      <w:r>
        <w:rPr>
          <w:rFonts w:hint="cs"/>
          <w:rtl/>
        </w:rPr>
        <w:t>سيراليون</w:t>
      </w:r>
    </w:p>
    <w:p w:rsidR="00D91D62" w:rsidRDefault="00D91D62" w:rsidP="00D91D62">
      <w:pPr>
        <w:pStyle w:val="NormalParaAR"/>
        <w:spacing w:after="0"/>
        <w:ind w:left="1700"/>
        <w:rPr>
          <w:rtl/>
        </w:rPr>
      </w:pPr>
      <w:r>
        <w:rPr>
          <w:rFonts w:hint="cs"/>
          <w:rtl/>
        </w:rPr>
        <w:t>سنغافورة</w:t>
      </w:r>
    </w:p>
    <w:p w:rsidR="00C4617C" w:rsidRDefault="00D91D62" w:rsidP="00C4617C">
      <w:pPr>
        <w:pStyle w:val="NormalParaAR"/>
        <w:spacing w:after="0"/>
        <w:ind w:left="1700"/>
        <w:rPr>
          <w:rtl/>
        </w:rPr>
      </w:pPr>
      <w:r>
        <w:rPr>
          <w:rFonts w:hint="cs"/>
          <w:rtl/>
        </w:rPr>
        <w:t>إسبانيا</w:t>
      </w:r>
    </w:p>
    <w:p w:rsidR="00D91D62" w:rsidRDefault="00D91D62" w:rsidP="00C4617C">
      <w:pPr>
        <w:pStyle w:val="NormalParaAR"/>
        <w:spacing w:after="0"/>
        <w:ind w:left="1700"/>
        <w:rPr>
          <w:rtl/>
        </w:rPr>
      </w:pPr>
      <w:r>
        <w:rPr>
          <w:rFonts w:hint="cs"/>
          <w:rtl/>
        </w:rPr>
        <w:t>السودان</w:t>
      </w:r>
    </w:p>
    <w:p w:rsidR="00D91D62" w:rsidRDefault="00D91D62" w:rsidP="00D91D62">
      <w:pPr>
        <w:pStyle w:val="NormalParaAR"/>
        <w:spacing w:after="0"/>
        <w:ind w:left="1700"/>
        <w:rPr>
          <w:rtl/>
        </w:rPr>
      </w:pPr>
      <w:r>
        <w:rPr>
          <w:rFonts w:hint="cs"/>
          <w:rtl/>
        </w:rPr>
        <w:t>سويسرا</w:t>
      </w:r>
    </w:p>
    <w:p w:rsidR="00D91D62" w:rsidRDefault="00D91D62" w:rsidP="00D91D62">
      <w:pPr>
        <w:pStyle w:val="NormalParaAR"/>
        <w:spacing w:after="0"/>
        <w:ind w:left="1700"/>
        <w:rPr>
          <w:rtl/>
        </w:rPr>
      </w:pPr>
      <w:r>
        <w:rPr>
          <w:rFonts w:hint="cs"/>
          <w:rtl/>
        </w:rPr>
        <w:t>توغو</w:t>
      </w:r>
    </w:p>
    <w:p w:rsidR="00D91D62" w:rsidRDefault="00D91D62" w:rsidP="00D91D62">
      <w:pPr>
        <w:pStyle w:val="NormalParaAR"/>
        <w:spacing w:after="0"/>
        <w:ind w:left="1700"/>
        <w:rPr>
          <w:rtl/>
        </w:rPr>
      </w:pPr>
      <w:r>
        <w:rPr>
          <w:rFonts w:hint="cs"/>
          <w:rtl/>
        </w:rPr>
        <w:t>تونس</w:t>
      </w:r>
    </w:p>
    <w:p w:rsidR="00C4617C" w:rsidRDefault="00C4617C" w:rsidP="00D91D62">
      <w:pPr>
        <w:pStyle w:val="NormalParaAR"/>
        <w:spacing w:after="0"/>
        <w:ind w:left="1700"/>
        <w:rPr>
          <w:rtl/>
        </w:rPr>
      </w:pPr>
      <w:r>
        <w:rPr>
          <w:rFonts w:hint="cs"/>
          <w:rtl/>
        </w:rPr>
        <w:t>المملكة المتحدة</w:t>
      </w:r>
    </w:p>
    <w:p w:rsidR="00C4617C" w:rsidRDefault="00C4617C" w:rsidP="00C4617C">
      <w:pPr>
        <w:pStyle w:val="NormalParaAR"/>
        <w:ind w:left="1701"/>
        <w:rPr>
          <w:rtl/>
        </w:rPr>
      </w:pPr>
      <w:r>
        <w:rPr>
          <w:rFonts w:hint="cs"/>
          <w:rtl/>
        </w:rPr>
        <w:t>أوروغواي</w:t>
      </w:r>
    </w:p>
    <w:p w:rsidR="00C4617C" w:rsidRDefault="00C4617C" w:rsidP="00D91D62">
      <w:pPr>
        <w:pStyle w:val="NumberedParaAR"/>
        <w:numPr>
          <w:ilvl w:val="0"/>
          <w:numId w:val="0"/>
        </w:numPr>
        <w:spacing w:after="0"/>
        <w:ind w:firstLine="566"/>
        <w:rPr>
          <w:rtl/>
        </w:rPr>
        <w:sectPr w:rsidR="00C4617C" w:rsidSect="00C4617C">
          <w:type w:val="continuous"/>
          <w:pgSz w:w="11907" w:h="16840" w:code="9"/>
          <w:pgMar w:top="567" w:right="1418" w:bottom="1418" w:left="1134" w:header="510" w:footer="1021" w:gutter="0"/>
          <w:cols w:num="2" w:space="284"/>
          <w:titlePg/>
          <w:bidi/>
          <w:docGrid w:linePitch="299"/>
        </w:sectPr>
      </w:pPr>
    </w:p>
    <w:p w:rsidR="00F4020F" w:rsidRDefault="00F4020F" w:rsidP="00EA3063">
      <w:pPr>
        <w:pStyle w:val="NumberedParaAR"/>
        <w:numPr>
          <w:ilvl w:val="0"/>
          <w:numId w:val="0"/>
        </w:numPr>
        <w:spacing w:after="0"/>
        <w:ind w:firstLine="566"/>
        <w:rPr>
          <w:rtl/>
        </w:rPr>
      </w:pPr>
      <w:r>
        <w:rPr>
          <w:rFonts w:hint="cs"/>
          <w:rtl/>
        </w:rPr>
        <w:lastRenderedPageBreak/>
        <w:t>(ب)</w:t>
      </w:r>
      <w:r>
        <w:rPr>
          <w:rFonts w:hint="cs"/>
          <w:rtl/>
        </w:rPr>
        <w:tab/>
      </w:r>
      <w:r w:rsidRPr="0064504F">
        <w:rPr>
          <w:i/>
          <w:iCs/>
          <w:rtl/>
        </w:rPr>
        <w:t xml:space="preserve">أوراق </w:t>
      </w:r>
      <w:r>
        <w:rPr>
          <w:rFonts w:hint="cs"/>
          <w:i/>
          <w:iCs/>
          <w:rtl/>
        </w:rPr>
        <w:t>ال</w:t>
      </w:r>
      <w:r w:rsidRPr="0064504F">
        <w:rPr>
          <w:i/>
          <w:iCs/>
          <w:rtl/>
        </w:rPr>
        <w:t>اعتماد</w:t>
      </w:r>
      <w:r>
        <w:rPr>
          <w:rtl/>
        </w:rPr>
        <w:t xml:space="preserve"> </w:t>
      </w:r>
      <w:r>
        <w:rPr>
          <w:rFonts w:hint="cs"/>
          <w:rtl/>
        </w:rPr>
        <w:t>دون التفويض الكامل للتوقيع على المعاهدة (أي أوراق الاعتماد للمشاركة في المؤتمر والتوقيع على الوثيقة الختامية) ل</w:t>
      </w:r>
      <w:r>
        <w:rPr>
          <w:rtl/>
        </w:rPr>
        <w:t>وفود الدول التالي ذكرها</w:t>
      </w:r>
      <w:r w:rsidR="00E03E06">
        <w:rPr>
          <w:rFonts w:hint="cs"/>
          <w:rtl/>
        </w:rPr>
        <w:t xml:space="preserve"> (</w:t>
      </w:r>
      <w:r w:rsidR="00EA3063">
        <w:rPr>
          <w:rFonts w:hint="cs"/>
          <w:rtl/>
        </w:rPr>
        <w:t>101</w:t>
      </w:r>
      <w:r w:rsidR="00E03E06">
        <w:rPr>
          <w:rFonts w:hint="cs"/>
          <w:rtl/>
        </w:rPr>
        <w:t xml:space="preserve"> دولة)</w:t>
      </w:r>
      <w:r>
        <w:rPr>
          <w:rFonts w:hint="cs"/>
          <w:rtl/>
        </w:rPr>
        <w:t xml:space="preserve">: </w:t>
      </w:r>
    </w:p>
    <w:p w:rsidR="00C4617C" w:rsidRDefault="00C4617C" w:rsidP="00C4617C">
      <w:pPr>
        <w:pStyle w:val="NumberedParaAR"/>
        <w:numPr>
          <w:ilvl w:val="0"/>
          <w:numId w:val="0"/>
        </w:numPr>
        <w:spacing w:after="0"/>
        <w:ind w:firstLine="566"/>
        <w:rPr>
          <w:rtl/>
        </w:rPr>
      </w:pPr>
    </w:p>
    <w:p w:rsidR="00C4617C" w:rsidRDefault="00C4617C" w:rsidP="00C4617C">
      <w:pPr>
        <w:pStyle w:val="NormalParaAR"/>
        <w:spacing w:after="0"/>
        <w:ind w:left="1701"/>
        <w:rPr>
          <w:rtl/>
        </w:rPr>
        <w:sectPr w:rsidR="00C4617C" w:rsidSect="00C4617C">
          <w:type w:val="continuous"/>
          <w:pgSz w:w="11907" w:h="16840" w:code="9"/>
          <w:pgMar w:top="567" w:right="1418" w:bottom="1418" w:left="1134" w:header="510" w:footer="1021" w:gutter="0"/>
          <w:cols w:space="720"/>
          <w:titlePg/>
          <w:docGrid w:linePitch="299"/>
        </w:sectPr>
      </w:pPr>
    </w:p>
    <w:p w:rsidR="00C4617C" w:rsidRDefault="00C4617C" w:rsidP="00C4617C">
      <w:pPr>
        <w:pStyle w:val="NormalParaAR"/>
        <w:spacing w:after="0"/>
        <w:ind w:left="1701"/>
        <w:rPr>
          <w:rtl/>
        </w:rPr>
      </w:pPr>
      <w:r>
        <w:rPr>
          <w:rFonts w:hint="cs"/>
          <w:rtl/>
        </w:rPr>
        <w:lastRenderedPageBreak/>
        <w:t>أفغانستان</w:t>
      </w:r>
    </w:p>
    <w:p w:rsidR="00C4617C" w:rsidRDefault="00C4617C" w:rsidP="00C4617C">
      <w:pPr>
        <w:pStyle w:val="NormalParaAR"/>
        <w:spacing w:after="0"/>
        <w:ind w:left="1701"/>
        <w:rPr>
          <w:rtl/>
        </w:rPr>
      </w:pPr>
      <w:r>
        <w:rPr>
          <w:rFonts w:hint="cs"/>
          <w:rtl/>
        </w:rPr>
        <w:t>ألبانيا</w:t>
      </w:r>
    </w:p>
    <w:p w:rsidR="00C4617C" w:rsidRDefault="00C4617C" w:rsidP="00C4617C">
      <w:pPr>
        <w:pStyle w:val="NormalParaAR"/>
        <w:spacing w:after="0"/>
        <w:ind w:left="1701"/>
        <w:rPr>
          <w:rtl/>
        </w:rPr>
      </w:pPr>
      <w:r>
        <w:rPr>
          <w:rFonts w:hint="cs"/>
          <w:rtl/>
        </w:rPr>
        <w:t>الجزائر</w:t>
      </w:r>
    </w:p>
    <w:p w:rsidR="00C4617C" w:rsidRDefault="00C4617C" w:rsidP="00C4617C">
      <w:pPr>
        <w:pStyle w:val="NormalParaAR"/>
        <w:spacing w:after="0"/>
        <w:ind w:left="1701"/>
        <w:rPr>
          <w:rtl/>
        </w:rPr>
      </w:pPr>
      <w:r>
        <w:rPr>
          <w:rFonts w:hint="cs"/>
          <w:rtl/>
        </w:rPr>
        <w:t>أنغولا</w:t>
      </w:r>
    </w:p>
    <w:p w:rsidR="00C4617C" w:rsidRDefault="00C4617C" w:rsidP="00C4617C">
      <w:pPr>
        <w:pStyle w:val="NormalParaAR"/>
        <w:spacing w:after="0"/>
        <w:ind w:left="1701"/>
        <w:rPr>
          <w:rtl/>
        </w:rPr>
      </w:pPr>
      <w:r>
        <w:rPr>
          <w:rFonts w:hint="cs"/>
          <w:rtl/>
        </w:rPr>
        <w:t>الأرجنتين</w:t>
      </w:r>
    </w:p>
    <w:p w:rsidR="00C4617C" w:rsidRDefault="00C4617C" w:rsidP="00C4617C">
      <w:pPr>
        <w:pStyle w:val="NormalParaAR"/>
        <w:spacing w:after="0"/>
        <w:ind w:left="1701"/>
        <w:rPr>
          <w:rtl/>
        </w:rPr>
      </w:pPr>
      <w:r>
        <w:rPr>
          <w:rFonts w:hint="cs"/>
          <w:rtl/>
        </w:rPr>
        <w:t>أرمينيا</w:t>
      </w:r>
    </w:p>
    <w:p w:rsidR="00C4617C" w:rsidRDefault="00C4617C" w:rsidP="00C4617C">
      <w:pPr>
        <w:pStyle w:val="NormalParaAR"/>
        <w:spacing w:after="0"/>
        <w:ind w:left="1701"/>
        <w:rPr>
          <w:rtl/>
        </w:rPr>
      </w:pPr>
      <w:r>
        <w:rPr>
          <w:rFonts w:hint="cs"/>
          <w:rtl/>
        </w:rPr>
        <w:t>أستراليا</w:t>
      </w:r>
    </w:p>
    <w:p w:rsidR="00C4617C" w:rsidRDefault="00C4617C" w:rsidP="00C4617C">
      <w:pPr>
        <w:pStyle w:val="NormalParaAR"/>
        <w:spacing w:after="0"/>
        <w:ind w:left="1701"/>
        <w:rPr>
          <w:rtl/>
        </w:rPr>
      </w:pPr>
      <w:r>
        <w:rPr>
          <w:rFonts w:hint="cs"/>
          <w:rtl/>
        </w:rPr>
        <w:t>النمسا</w:t>
      </w:r>
    </w:p>
    <w:p w:rsidR="00C4617C" w:rsidRDefault="00C4617C" w:rsidP="00C4617C">
      <w:pPr>
        <w:pStyle w:val="NormalParaAR"/>
        <w:spacing w:after="0"/>
        <w:ind w:left="1701"/>
        <w:rPr>
          <w:rtl/>
        </w:rPr>
      </w:pPr>
      <w:r>
        <w:rPr>
          <w:rFonts w:hint="cs"/>
          <w:rtl/>
        </w:rPr>
        <w:t>أذربيجان</w:t>
      </w:r>
    </w:p>
    <w:p w:rsidR="00C4617C" w:rsidRDefault="00C4617C" w:rsidP="00C4617C">
      <w:pPr>
        <w:pStyle w:val="NormalParaAR"/>
        <w:spacing w:after="0"/>
        <w:ind w:left="1701"/>
        <w:rPr>
          <w:rtl/>
        </w:rPr>
      </w:pPr>
      <w:r>
        <w:rPr>
          <w:rFonts w:hint="cs"/>
          <w:rtl/>
        </w:rPr>
        <w:t>بنغلاديش</w:t>
      </w:r>
    </w:p>
    <w:p w:rsidR="00C4617C" w:rsidRDefault="00C4617C" w:rsidP="00C4617C">
      <w:pPr>
        <w:pStyle w:val="NormalParaAR"/>
        <w:spacing w:after="0"/>
        <w:ind w:left="1701"/>
        <w:rPr>
          <w:rtl/>
        </w:rPr>
      </w:pPr>
      <w:r>
        <w:rPr>
          <w:rFonts w:hint="cs"/>
          <w:rtl/>
        </w:rPr>
        <w:t>بيلاروس</w:t>
      </w:r>
    </w:p>
    <w:p w:rsidR="00C4617C" w:rsidRDefault="00C4617C" w:rsidP="00C4617C">
      <w:pPr>
        <w:pStyle w:val="NormalParaAR"/>
        <w:spacing w:after="0"/>
        <w:ind w:left="1701"/>
        <w:rPr>
          <w:rtl/>
        </w:rPr>
      </w:pPr>
      <w:r>
        <w:rPr>
          <w:rFonts w:hint="cs"/>
          <w:rtl/>
        </w:rPr>
        <w:t>بلجيكا</w:t>
      </w:r>
    </w:p>
    <w:p w:rsidR="00C4617C" w:rsidRDefault="00C4617C" w:rsidP="00C4617C">
      <w:pPr>
        <w:pStyle w:val="NormalParaAR"/>
        <w:spacing w:after="0"/>
        <w:ind w:left="1701"/>
        <w:rPr>
          <w:rtl/>
        </w:rPr>
      </w:pPr>
      <w:r>
        <w:rPr>
          <w:rFonts w:hint="cs"/>
          <w:rtl/>
        </w:rPr>
        <w:t>بنن</w:t>
      </w:r>
    </w:p>
    <w:p w:rsidR="00C4617C" w:rsidRDefault="00C4617C" w:rsidP="00C4617C">
      <w:pPr>
        <w:pStyle w:val="NormalParaAR"/>
        <w:spacing w:after="0"/>
        <w:ind w:left="1701"/>
        <w:rPr>
          <w:rtl/>
        </w:rPr>
      </w:pPr>
      <w:r>
        <w:rPr>
          <w:rFonts w:hint="cs"/>
          <w:rtl/>
        </w:rPr>
        <w:t>بوتان</w:t>
      </w:r>
    </w:p>
    <w:p w:rsidR="00C4617C" w:rsidRDefault="00C4617C" w:rsidP="00C4617C">
      <w:pPr>
        <w:pStyle w:val="NormalParaAR"/>
        <w:spacing w:after="0"/>
        <w:ind w:left="1701"/>
        <w:rPr>
          <w:rtl/>
        </w:rPr>
      </w:pPr>
      <w:r>
        <w:rPr>
          <w:rFonts w:hint="cs"/>
          <w:rtl/>
        </w:rPr>
        <w:t>بوتسوانا</w:t>
      </w:r>
    </w:p>
    <w:p w:rsidR="00C4617C" w:rsidRDefault="00C4617C" w:rsidP="00C4617C">
      <w:pPr>
        <w:pStyle w:val="NormalParaAR"/>
        <w:spacing w:after="0"/>
        <w:ind w:left="1701"/>
        <w:rPr>
          <w:rtl/>
        </w:rPr>
      </w:pPr>
      <w:r>
        <w:rPr>
          <w:rFonts w:hint="cs"/>
          <w:rtl/>
        </w:rPr>
        <w:t>بلغاريا</w:t>
      </w:r>
    </w:p>
    <w:p w:rsidR="00C4617C" w:rsidRDefault="00C4617C" w:rsidP="00C4617C">
      <w:pPr>
        <w:pStyle w:val="NormalParaAR"/>
        <w:spacing w:after="0"/>
        <w:ind w:left="1701"/>
        <w:rPr>
          <w:rtl/>
        </w:rPr>
      </w:pPr>
      <w:r>
        <w:rPr>
          <w:rFonts w:hint="cs"/>
          <w:rtl/>
        </w:rPr>
        <w:t>الكاميرون</w:t>
      </w:r>
    </w:p>
    <w:p w:rsidR="00C4617C" w:rsidRDefault="00C4617C" w:rsidP="00C4617C">
      <w:pPr>
        <w:pStyle w:val="NormalParaAR"/>
        <w:spacing w:after="0"/>
        <w:ind w:left="1701"/>
        <w:rPr>
          <w:rtl/>
        </w:rPr>
      </w:pPr>
      <w:r>
        <w:rPr>
          <w:rFonts w:hint="cs"/>
          <w:rtl/>
        </w:rPr>
        <w:t>كندا</w:t>
      </w:r>
    </w:p>
    <w:p w:rsidR="00C4617C" w:rsidRDefault="00C4617C" w:rsidP="00C4617C">
      <w:pPr>
        <w:pStyle w:val="NormalParaAR"/>
        <w:spacing w:after="0"/>
        <w:ind w:left="1701"/>
        <w:rPr>
          <w:rtl/>
        </w:rPr>
      </w:pPr>
      <w:r>
        <w:rPr>
          <w:rFonts w:hint="cs"/>
          <w:rtl/>
        </w:rPr>
        <w:t>الصين</w:t>
      </w:r>
    </w:p>
    <w:p w:rsidR="00C4617C" w:rsidRDefault="00C4617C" w:rsidP="00C4617C">
      <w:pPr>
        <w:pStyle w:val="NormalParaAR"/>
        <w:spacing w:after="0"/>
        <w:ind w:left="1701"/>
        <w:rPr>
          <w:rtl/>
        </w:rPr>
      </w:pPr>
      <w:r>
        <w:rPr>
          <w:rFonts w:hint="cs"/>
          <w:rtl/>
        </w:rPr>
        <w:t>كرواتيا</w:t>
      </w:r>
    </w:p>
    <w:p w:rsidR="00C4617C" w:rsidRDefault="00C4617C" w:rsidP="00C4617C">
      <w:pPr>
        <w:pStyle w:val="NormalParaAR"/>
        <w:spacing w:after="0"/>
        <w:ind w:left="1701"/>
        <w:rPr>
          <w:rtl/>
        </w:rPr>
      </w:pPr>
      <w:r>
        <w:rPr>
          <w:rFonts w:hint="cs"/>
          <w:rtl/>
        </w:rPr>
        <w:lastRenderedPageBreak/>
        <w:t>كوبا</w:t>
      </w:r>
    </w:p>
    <w:p w:rsidR="00C4617C" w:rsidRDefault="00C4617C" w:rsidP="00C4617C">
      <w:pPr>
        <w:pStyle w:val="NormalParaAR"/>
        <w:spacing w:after="0"/>
        <w:ind w:left="1701"/>
      </w:pPr>
      <w:r>
        <w:rPr>
          <w:rFonts w:hint="cs"/>
          <w:rtl/>
        </w:rPr>
        <w:t>قبرص</w:t>
      </w:r>
    </w:p>
    <w:p w:rsidR="00C4617C" w:rsidRDefault="00C4617C" w:rsidP="00C4617C">
      <w:pPr>
        <w:pStyle w:val="NormalParaAR"/>
        <w:spacing w:after="0"/>
        <w:ind w:left="1701"/>
        <w:rPr>
          <w:rtl/>
        </w:rPr>
      </w:pPr>
      <w:r>
        <w:rPr>
          <w:rFonts w:hint="cs"/>
          <w:rtl/>
        </w:rPr>
        <w:t>الجمهورية التشيكية</w:t>
      </w:r>
    </w:p>
    <w:p w:rsidR="00C4617C" w:rsidRDefault="00C4617C" w:rsidP="00C4617C">
      <w:pPr>
        <w:pStyle w:val="NormalParaAR"/>
        <w:spacing w:after="0"/>
        <w:ind w:left="1701"/>
        <w:rPr>
          <w:rtl/>
        </w:rPr>
      </w:pPr>
      <w:r>
        <w:rPr>
          <w:rFonts w:hint="cs"/>
          <w:rtl/>
        </w:rPr>
        <w:t>إكوادور</w:t>
      </w:r>
    </w:p>
    <w:p w:rsidR="00C4617C" w:rsidRDefault="00C4617C" w:rsidP="00C4617C">
      <w:pPr>
        <w:pStyle w:val="NormalParaAR"/>
        <w:spacing w:after="0"/>
        <w:ind w:left="1701"/>
        <w:rPr>
          <w:rtl/>
        </w:rPr>
      </w:pPr>
      <w:r>
        <w:rPr>
          <w:rFonts w:hint="cs"/>
          <w:rtl/>
        </w:rPr>
        <w:t>مصر</w:t>
      </w:r>
    </w:p>
    <w:p w:rsidR="00C4617C" w:rsidRDefault="00C4617C" w:rsidP="00C4617C">
      <w:pPr>
        <w:pStyle w:val="NormalParaAR"/>
        <w:spacing w:after="0"/>
        <w:ind w:left="1701"/>
        <w:rPr>
          <w:rtl/>
        </w:rPr>
      </w:pPr>
      <w:r>
        <w:rPr>
          <w:rFonts w:hint="cs"/>
          <w:rtl/>
        </w:rPr>
        <w:t>السلفادور</w:t>
      </w:r>
    </w:p>
    <w:p w:rsidR="00C4617C" w:rsidRDefault="00C4617C" w:rsidP="00C4617C">
      <w:pPr>
        <w:pStyle w:val="NormalParaAR"/>
        <w:spacing w:after="0"/>
        <w:ind w:left="1701"/>
        <w:rPr>
          <w:rtl/>
        </w:rPr>
      </w:pPr>
      <w:r>
        <w:rPr>
          <w:rFonts w:hint="cs"/>
          <w:rtl/>
        </w:rPr>
        <w:t>إستونيا</w:t>
      </w:r>
    </w:p>
    <w:p w:rsidR="00C4617C" w:rsidRDefault="00C4617C" w:rsidP="00C4617C">
      <w:pPr>
        <w:pStyle w:val="NormalParaAR"/>
        <w:spacing w:after="0"/>
        <w:ind w:left="1701"/>
        <w:rPr>
          <w:rtl/>
        </w:rPr>
      </w:pPr>
      <w:r>
        <w:rPr>
          <w:rFonts w:hint="cs"/>
          <w:rtl/>
        </w:rPr>
        <w:t>إثيوبيا</w:t>
      </w:r>
    </w:p>
    <w:p w:rsidR="0013153A" w:rsidRDefault="0013153A" w:rsidP="00C4617C">
      <w:pPr>
        <w:pStyle w:val="NormalParaAR"/>
        <w:spacing w:after="0"/>
        <w:ind w:left="1701"/>
        <w:rPr>
          <w:rtl/>
        </w:rPr>
      </w:pPr>
      <w:r>
        <w:rPr>
          <w:rFonts w:hint="cs"/>
          <w:rtl/>
        </w:rPr>
        <w:t>الاتحاد الأوروبي</w:t>
      </w:r>
    </w:p>
    <w:p w:rsidR="00C4617C" w:rsidRDefault="00C4617C" w:rsidP="00C4617C">
      <w:pPr>
        <w:pStyle w:val="NormalParaAR"/>
        <w:spacing w:after="0"/>
        <w:ind w:left="1701"/>
        <w:rPr>
          <w:rtl/>
        </w:rPr>
      </w:pPr>
      <w:r>
        <w:rPr>
          <w:rFonts w:hint="cs"/>
          <w:rtl/>
        </w:rPr>
        <w:t>فيجي</w:t>
      </w:r>
    </w:p>
    <w:p w:rsidR="00C4617C" w:rsidRDefault="00C4617C" w:rsidP="00C4617C">
      <w:pPr>
        <w:pStyle w:val="NormalParaAR"/>
        <w:spacing w:after="0"/>
        <w:ind w:left="1701"/>
        <w:rPr>
          <w:rtl/>
        </w:rPr>
      </w:pPr>
      <w:r>
        <w:rPr>
          <w:rFonts w:hint="cs"/>
          <w:rtl/>
        </w:rPr>
        <w:t>فنلندا</w:t>
      </w:r>
    </w:p>
    <w:p w:rsidR="00C4617C" w:rsidRDefault="00C4617C" w:rsidP="00C4617C">
      <w:pPr>
        <w:pStyle w:val="NormalParaAR"/>
        <w:spacing w:after="0"/>
        <w:ind w:left="1701"/>
        <w:rPr>
          <w:rtl/>
        </w:rPr>
      </w:pPr>
      <w:r>
        <w:rPr>
          <w:rFonts w:hint="cs"/>
          <w:rtl/>
        </w:rPr>
        <w:t>فرنسا</w:t>
      </w:r>
    </w:p>
    <w:p w:rsidR="00C4617C" w:rsidRDefault="00C4617C" w:rsidP="00C4617C">
      <w:pPr>
        <w:pStyle w:val="NormalParaAR"/>
        <w:spacing w:after="0"/>
        <w:ind w:left="1701"/>
        <w:rPr>
          <w:rtl/>
        </w:rPr>
      </w:pPr>
      <w:r>
        <w:rPr>
          <w:rFonts w:hint="cs"/>
          <w:rtl/>
        </w:rPr>
        <w:t>غابون</w:t>
      </w:r>
    </w:p>
    <w:p w:rsidR="00C4617C" w:rsidRDefault="00C4617C" w:rsidP="00C4617C">
      <w:pPr>
        <w:pStyle w:val="NormalParaAR"/>
        <w:spacing w:after="0"/>
        <w:ind w:left="1701"/>
        <w:rPr>
          <w:rtl/>
        </w:rPr>
      </w:pPr>
      <w:r>
        <w:rPr>
          <w:rFonts w:hint="cs"/>
          <w:rtl/>
        </w:rPr>
        <w:t>غامبيا</w:t>
      </w:r>
    </w:p>
    <w:p w:rsidR="00C4617C" w:rsidRDefault="00C4617C" w:rsidP="00C4617C">
      <w:pPr>
        <w:pStyle w:val="NormalParaAR"/>
        <w:spacing w:after="0"/>
        <w:ind w:left="1701"/>
        <w:rPr>
          <w:rtl/>
        </w:rPr>
      </w:pPr>
      <w:r>
        <w:rPr>
          <w:rFonts w:hint="cs"/>
          <w:rtl/>
        </w:rPr>
        <w:t>جورجيا</w:t>
      </w:r>
    </w:p>
    <w:p w:rsidR="00C4617C" w:rsidRDefault="00C4617C" w:rsidP="00C4617C">
      <w:pPr>
        <w:pStyle w:val="NormalParaAR"/>
        <w:spacing w:after="0"/>
        <w:ind w:left="1701"/>
        <w:rPr>
          <w:rtl/>
        </w:rPr>
      </w:pPr>
      <w:r>
        <w:rPr>
          <w:rFonts w:hint="cs"/>
          <w:rtl/>
        </w:rPr>
        <w:t>ألمانيا</w:t>
      </w:r>
    </w:p>
    <w:p w:rsidR="00C4617C" w:rsidRDefault="00C4617C" w:rsidP="00C4617C">
      <w:pPr>
        <w:pStyle w:val="NormalParaAR"/>
        <w:spacing w:after="0"/>
        <w:ind w:left="1701"/>
        <w:rPr>
          <w:rtl/>
        </w:rPr>
      </w:pPr>
      <w:r>
        <w:rPr>
          <w:rFonts w:hint="cs"/>
          <w:rtl/>
        </w:rPr>
        <w:t>اليونان</w:t>
      </w:r>
    </w:p>
    <w:p w:rsidR="00C4617C" w:rsidRDefault="00C4617C" w:rsidP="00C4617C">
      <w:pPr>
        <w:pStyle w:val="NormalParaAR"/>
        <w:spacing w:after="0"/>
        <w:ind w:left="1701"/>
        <w:rPr>
          <w:rtl/>
        </w:rPr>
      </w:pPr>
      <w:r>
        <w:rPr>
          <w:rFonts w:hint="cs"/>
          <w:rtl/>
        </w:rPr>
        <w:t>غواتيمالا</w:t>
      </w:r>
    </w:p>
    <w:p w:rsidR="00C4617C" w:rsidRDefault="00C4617C" w:rsidP="00C4617C">
      <w:pPr>
        <w:pStyle w:val="NormalParaAR"/>
        <w:spacing w:after="0"/>
        <w:ind w:left="1701"/>
        <w:rPr>
          <w:rtl/>
        </w:rPr>
      </w:pPr>
      <w:r>
        <w:rPr>
          <w:rFonts w:hint="cs"/>
          <w:rtl/>
        </w:rPr>
        <w:t>هندوراس</w:t>
      </w:r>
    </w:p>
    <w:p w:rsidR="00C4617C" w:rsidRDefault="00C4617C" w:rsidP="00C4617C">
      <w:pPr>
        <w:pStyle w:val="NormalParaAR"/>
        <w:spacing w:after="0"/>
        <w:ind w:left="1701"/>
        <w:rPr>
          <w:rtl/>
        </w:rPr>
      </w:pPr>
      <w:r>
        <w:rPr>
          <w:rFonts w:hint="cs"/>
          <w:rtl/>
        </w:rPr>
        <w:t>هنغاريا</w:t>
      </w:r>
    </w:p>
    <w:p w:rsidR="00C4617C" w:rsidRDefault="00C4617C" w:rsidP="00C4617C">
      <w:pPr>
        <w:pStyle w:val="NormalParaAR"/>
        <w:spacing w:after="0"/>
        <w:ind w:left="1701"/>
        <w:rPr>
          <w:rtl/>
        </w:rPr>
      </w:pPr>
      <w:r>
        <w:rPr>
          <w:rFonts w:hint="cs"/>
          <w:rtl/>
        </w:rPr>
        <w:lastRenderedPageBreak/>
        <w:t>الهند</w:t>
      </w:r>
    </w:p>
    <w:p w:rsidR="00C4617C" w:rsidRDefault="00C4617C" w:rsidP="00C4617C">
      <w:pPr>
        <w:pStyle w:val="NormalParaAR"/>
        <w:spacing w:after="0"/>
        <w:ind w:left="1701"/>
        <w:rPr>
          <w:rtl/>
        </w:rPr>
      </w:pPr>
      <w:r>
        <w:rPr>
          <w:rFonts w:hint="cs"/>
          <w:rtl/>
        </w:rPr>
        <w:t>إندونيسيا</w:t>
      </w:r>
    </w:p>
    <w:p w:rsidR="00C4617C" w:rsidRDefault="00C4617C" w:rsidP="00C4617C">
      <w:pPr>
        <w:pStyle w:val="NormalParaAR"/>
        <w:spacing w:after="0"/>
        <w:ind w:left="1701"/>
        <w:rPr>
          <w:rtl/>
        </w:rPr>
      </w:pPr>
      <w:r>
        <w:rPr>
          <w:rFonts w:hint="cs"/>
          <w:rtl/>
        </w:rPr>
        <w:t xml:space="preserve">إيران (جمهورية </w:t>
      </w:r>
      <w:r>
        <w:rPr>
          <w:rtl/>
        </w:rPr>
        <w:t>–</w:t>
      </w:r>
      <w:r>
        <w:rPr>
          <w:rFonts w:hint="cs"/>
          <w:rtl/>
        </w:rPr>
        <w:t xml:space="preserve"> الإسلامية)</w:t>
      </w:r>
    </w:p>
    <w:p w:rsidR="00C4617C" w:rsidRDefault="00C4617C" w:rsidP="00C4617C">
      <w:pPr>
        <w:pStyle w:val="NormalParaAR"/>
        <w:spacing w:after="0"/>
        <w:ind w:left="1701"/>
        <w:rPr>
          <w:rtl/>
        </w:rPr>
      </w:pPr>
      <w:r>
        <w:rPr>
          <w:rFonts w:hint="cs"/>
          <w:rtl/>
        </w:rPr>
        <w:t>العراق</w:t>
      </w:r>
    </w:p>
    <w:p w:rsidR="00EA3063" w:rsidRDefault="00EA3063" w:rsidP="00EA3063">
      <w:pPr>
        <w:pStyle w:val="NormalParaAR"/>
        <w:spacing w:after="0"/>
        <w:ind w:left="1700"/>
        <w:rPr>
          <w:rtl/>
        </w:rPr>
      </w:pPr>
      <w:r>
        <w:rPr>
          <w:rFonts w:hint="cs"/>
          <w:rtl/>
        </w:rPr>
        <w:t>إيرلندا</w:t>
      </w:r>
    </w:p>
    <w:p w:rsidR="00C4617C" w:rsidRDefault="00C4617C" w:rsidP="00C4617C">
      <w:pPr>
        <w:pStyle w:val="NormalParaAR"/>
        <w:spacing w:after="0"/>
        <w:ind w:left="1701"/>
        <w:rPr>
          <w:rtl/>
        </w:rPr>
      </w:pPr>
      <w:r>
        <w:rPr>
          <w:rFonts w:hint="cs"/>
          <w:rtl/>
        </w:rPr>
        <w:t>إسرائيل</w:t>
      </w:r>
    </w:p>
    <w:p w:rsidR="00C4617C" w:rsidRDefault="00C4617C" w:rsidP="00C4617C">
      <w:pPr>
        <w:pStyle w:val="NormalParaAR"/>
        <w:spacing w:after="0"/>
        <w:ind w:left="1701"/>
        <w:rPr>
          <w:rtl/>
        </w:rPr>
      </w:pPr>
      <w:r>
        <w:rPr>
          <w:rFonts w:hint="cs"/>
          <w:rtl/>
        </w:rPr>
        <w:t>إيطاليا</w:t>
      </w:r>
    </w:p>
    <w:p w:rsidR="00C4617C" w:rsidRDefault="00C4617C" w:rsidP="00C4617C">
      <w:pPr>
        <w:pStyle w:val="NormalParaAR"/>
        <w:spacing w:after="0"/>
        <w:ind w:left="1701"/>
        <w:rPr>
          <w:rtl/>
        </w:rPr>
      </w:pPr>
      <w:r>
        <w:rPr>
          <w:rFonts w:hint="cs"/>
          <w:rtl/>
        </w:rPr>
        <w:t>جامايكا</w:t>
      </w:r>
    </w:p>
    <w:p w:rsidR="00C4617C" w:rsidRDefault="00C4617C" w:rsidP="00C4617C">
      <w:pPr>
        <w:pStyle w:val="NormalParaAR"/>
        <w:spacing w:after="0"/>
        <w:ind w:left="1701"/>
        <w:rPr>
          <w:rtl/>
        </w:rPr>
      </w:pPr>
      <w:r>
        <w:rPr>
          <w:rFonts w:hint="cs"/>
          <w:rtl/>
        </w:rPr>
        <w:t>اليابان</w:t>
      </w:r>
    </w:p>
    <w:p w:rsidR="00C4617C" w:rsidRDefault="00C4617C" w:rsidP="00C4617C">
      <w:pPr>
        <w:pStyle w:val="NormalParaAR"/>
        <w:spacing w:after="0"/>
        <w:ind w:left="1701"/>
        <w:rPr>
          <w:rtl/>
        </w:rPr>
      </w:pPr>
      <w:r>
        <w:rPr>
          <w:rFonts w:hint="cs"/>
          <w:rtl/>
        </w:rPr>
        <w:t>قيرغيزستان</w:t>
      </w:r>
    </w:p>
    <w:p w:rsidR="00C4617C" w:rsidRDefault="00C4617C" w:rsidP="00C4617C">
      <w:pPr>
        <w:pStyle w:val="NormalParaAR"/>
        <w:spacing w:after="0"/>
        <w:ind w:left="1701"/>
        <w:rPr>
          <w:rtl/>
        </w:rPr>
      </w:pPr>
      <w:r>
        <w:rPr>
          <w:rFonts w:hint="cs"/>
          <w:rtl/>
        </w:rPr>
        <w:t>جمهورية لاو الديمقراطية الشعبية</w:t>
      </w:r>
    </w:p>
    <w:p w:rsidR="00C4617C" w:rsidRDefault="00C4617C" w:rsidP="00C4617C">
      <w:pPr>
        <w:pStyle w:val="NormalParaAR"/>
        <w:spacing w:after="0"/>
        <w:ind w:left="1701"/>
        <w:rPr>
          <w:rtl/>
        </w:rPr>
      </w:pPr>
      <w:r>
        <w:rPr>
          <w:rFonts w:hint="cs"/>
          <w:rtl/>
        </w:rPr>
        <w:t>لاتفيا</w:t>
      </w:r>
    </w:p>
    <w:p w:rsidR="00C4617C" w:rsidRDefault="00C4617C" w:rsidP="00C4617C">
      <w:pPr>
        <w:pStyle w:val="NormalParaAR"/>
        <w:spacing w:after="0"/>
        <w:ind w:left="1701"/>
        <w:rPr>
          <w:rtl/>
        </w:rPr>
      </w:pPr>
      <w:r>
        <w:rPr>
          <w:rFonts w:hint="cs"/>
          <w:rtl/>
        </w:rPr>
        <w:t>ليسوتو</w:t>
      </w:r>
    </w:p>
    <w:p w:rsidR="00C4617C" w:rsidRDefault="00C4617C" w:rsidP="00C4617C">
      <w:pPr>
        <w:pStyle w:val="NormalParaAR"/>
        <w:spacing w:after="0"/>
        <w:ind w:left="1701"/>
        <w:rPr>
          <w:rtl/>
        </w:rPr>
      </w:pPr>
      <w:r>
        <w:rPr>
          <w:rFonts w:hint="cs"/>
          <w:rtl/>
        </w:rPr>
        <w:t>ليبيا</w:t>
      </w:r>
    </w:p>
    <w:p w:rsidR="00C4617C" w:rsidRDefault="00C4617C" w:rsidP="00C4617C">
      <w:pPr>
        <w:pStyle w:val="NormalParaAR"/>
        <w:spacing w:after="0"/>
        <w:ind w:left="1701"/>
        <w:rPr>
          <w:rtl/>
        </w:rPr>
      </w:pPr>
      <w:r>
        <w:rPr>
          <w:rFonts w:hint="cs"/>
          <w:rtl/>
        </w:rPr>
        <w:t>ليتوانيا</w:t>
      </w:r>
    </w:p>
    <w:p w:rsidR="00C4617C" w:rsidRDefault="00C4617C" w:rsidP="00C4617C">
      <w:pPr>
        <w:pStyle w:val="NormalParaAR"/>
        <w:spacing w:after="0"/>
        <w:ind w:left="1701"/>
        <w:rPr>
          <w:rtl/>
        </w:rPr>
      </w:pPr>
      <w:r>
        <w:rPr>
          <w:rFonts w:hint="cs"/>
          <w:rtl/>
        </w:rPr>
        <w:t>مدغشقر</w:t>
      </w:r>
    </w:p>
    <w:p w:rsidR="00C4617C" w:rsidRDefault="00C4617C" w:rsidP="00C4617C">
      <w:pPr>
        <w:pStyle w:val="NormalParaAR"/>
        <w:spacing w:after="0"/>
        <w:ind w:left="1701"/>
        <w:rPr>
          <w:rtl/>
        </w:rPr>
      </w:pPr>
      <w:r>
        <w:rPr>
          <w:rFonts w:hint="cs"/>
          <w:rtl/>
        </w:rPr>
        <w:t>ملاوي</w:t>
      </w:r>
    </w:p>
    <w:p w:rsidR="00C4617C" w:rsidRDefault="00C4617C" w:rsidP="00C4617C">
      <w:pPr>
        <w:pStyle w:val="NormalParaAR"/>
        <w:spacing w:after="0"/>
        <w:ind w:left="1701"/>
        <w:rPr>
          <w:rtl/>
        </w:rPr>
      </w:pPr>
      <w:r>
        <w:rPr>
          <w:rFonts w:hint="cs"/>
          <w:rtl/>
        </w:rPr>
        <w:t>ماليزيا</w:t>
      </w:r>
    </w:p>
    <w:p w:rsidR="00C4617C" w:rsidRDefault="00C4617C" w:rsidP="00C4617C">
      <w:pPr>
        <w:pStyle w:val="NormalParaAR"/>
        <w:spacing w:after="0"/>
        <w:ind w:left="1701"/>
        <w:rPr>
          <w:rtl/>
        </w:rPr>
      </w:pPr>
      <w:r>
        <w:rPr>
          <w:rFonts w:hint="cs"/>
          <w:rtl/>
        </w:rPr>
        <w:t>موريتانيا</w:t>
      </w:r>
    </w:p>
    <w:p w:rsidR="00C4617C" w:rsidRDefault="00C4617C" w:rsidP="00C4617C">
      <w:pPr>
        <w:pStyle w:val="NormalParaAR"/>
        <w:spacing w:after="0"/>
        <w:ind w:left="1701"/>
        <w:rPr>
          <w:rtl/>
        </w:rPr>
      </w:pPr>
      <w:r>
        <w:rPr>
          <w:rFonts w:hint="cs"/>
          <w:rtl/>
        </w:rPr>
        <w:t>المكسيك</w:t>
      </w:r>
    </w:p>
    <w:p w:rsidR="00C4617C" w:rsidRDefault="00C4617C" w:rsidP="00C4617C">
      <w:pPr>
        <w:pStyle w:val="NormalParaAR"/>
        <w:spacing w:after="0"/>
        <w:ind w:left="1701"/>
        <w:rPr>
          <w:rtl/>
        </w:rPr>
      </w:pPr>
      <w:r>
        <w:rPr>
          <w:rFonts w:hint="cs"/>
          <w:rtl/>
        </w:rPr>
        <w:t>الجبل الأسود</w:t>
      </w:r>
    </w:p>
    <w:p w:rsidR="00C4617C" w:rsidRDefault="00C4617C" w:rsidP="00C4617C">
      <w:pPr>
        <w:pStyle w:val="NormalParaAR"/>
        <w:spacing w:after="0"/>
        <w:ind w:left="1701"/>
        <w:rPr>
          <w:rtl/>
        </w:rPr>
      </w:pPr>
      <w:r>
        <w:rPr>
          <w:rFonts w:hint="cs"/>
          <w:rtl/>
        </w:rPr>
        <w:t>المغرب</w:t>
      </w:r>
    </w:p>
    <w:p w:rsidR="00C4617C" w:rsidRDefault="00C4617C" w:rsidP="00C4617C">
      <w:pPr>
        <w:pStyle w:val="NormalParaAR"/>
        <w:spacing w:after="0"/>
        <w:ind w:left="1701"/>
        <w:rPr>
          <w:rtl/>
        </w:rPr>
      </w:pPr>
      <w:r>
        <w:rPr>
          <w:rFonts w:hint="cs"/>
          <w:rtl/>
        </w:rPr>
        <w:t>موزمبيق</w:t>
      </w:r>
    </w:p>
    <w:p w:rsidR="00C4617C" w:rsidRDefault="00C4617C" w:rsidP="00C4617C">
      <w:pPr>
        <w:pStyle w:val="NormalParaAR"/>
        <w:spacing w:after="0"/>
        <w:ind w:left="1701"/>
        <w:rPr>
          <w:rtl/>
        </w:rPr>
      </w:pPr>
      <w:r>
        <w:rPr>
          <w:rFonts w:hint="cs"/>
          <w:rtl/>
        </w:rPr>
        <w:t>ميانمار</w:t>
      </w:r>
    </w:p>
    <w:p w:rsidR="00C4617C" w:rsidRDefault="00C4617C" w:rsidP="00C4617C">
      <w:pPr>
        <w:pStyle w:val="NormalParaAR"/>
        <w:spacing w:after="0"/>
        <w:ind w:left="1701"/>
        <w:rPr>
          <w:rtl/>
        </w:rPr>
      </w:pPr>
      <w:r>
        <w:rPr>
          <w:rFonts w:hint="cs"/>
          <w:rtl/>
        </w:rPr>
        <w:t>هولندا</w:t>
      </w:r>
    </w:p>
    <w:p w:rsidR="00C4617C" w:rsidRDefault="00C4617C" w:rsidP="00C4617C">
      <w:pPr>
        <w:pStyle w:val="NormalParaAR"/>
        <w:spacing w:after="0"/>
        <w:ind w:left="1701"/>
        <w:rPr>
          <w:rtl/>
        </w:rPr>
      </w:pPr>
      <w:r>
        <w:rPr>
          <w:rFonts w:hint="cs"/>
          <w:rtl/>
        </w:rPr>
        <w:t>نيكاراغوا</w:t>
      </w:r>
    </w:p>
    <w:p w:rsidR="00C4617C" w:rsidRDefault="00C4617C" w:rsidP="00C4617C">
      <w:pPr>
        <w:pStyle w:val="NormalParaAR"/>
        <w:spacing w:after="0"/>
        <w:ind w:left="1701"/>
        <w:rPr>
          <w:rtl/>
        </w:rPr>
      </w:pPr>
      <w:r>
        <w:rPr>
          <w:rFonts w:hint="cs"/>
          <w:rtl/>
        </w:rPr>
        <w:t>نيجيريا</w:t>
      </w:r>
    </w:p>
    <w:p w:rsidR="00C4617C" w:rsidRDefault="00C4617C" w:rsidP="00C4617C">
      <w:pPr>
        <w:pStyle w:val="NormalParaAR"/>
        <w:spacing w:after="0"/>
        <w:ind w:left="1701"/>
        <w:rPr>
          <w:rtl/>
        </w:rPr>
      </w:pPr>
      <w:r>
        <w:rPr>
          <w:rFonts w:hint="cs"/>
          <w:rtl/>
        </w:rPr>
        <w:t>النرويج</w:t>
      </w:r>
    </w:p>
    <w:p w:rsidR="00C4617C" w:rsidRDefault="00C4617C" w:rsidP="00C4617C">
      <w:pPr>
        <w:pStyle w:val="NormalParaAR"/>
        <w:spacing w:after="0"/>
        <w:ind w:left="1701"/>
        <w:rPr>
          <w:rtl/>
        </w:rPr>
      </w:pPr>
      <w:r>
        <w:rPr>
          <w:rFonts w:hint="cs"/>
          <w:rtl/>
        </w:rPr>
        <w:t>عُمان</w:t>
      </w:r>
    </w:p>
    <w:p w:rsidR="00C4617C" w:rsidRDefault="00C4617C" w:rsidP="00C4617C">
      <w:pPr>
        <w:pStyle w:val="NormalParaAR"/>
        <w:spacing w:after="0"/>
        <w:ind w:left="1701"/>
        <w:rPr>
          <w:rtl/>
        </w:rPr>
      </w:pPr>
      <w:r>
        <w:rPr>
          <w:rFonts w:hint="cs"/>
          <w:rtl/>
        </w:rPr>
        <w:t>باكستان</w:t>
      </w:r>
    </w:p>
    <w:p w:rsidR="00C4617C" w:rsidRDefault="00C4617C" w:rsidP="00C4617C">
      <w:pPr>
        <w:pStyle w:val="NormalParaAR"/>
        <w:spacing w:after="0"/>
        <w:ind w:left="1701"/>
        <w:rPr>
          <w:rtl/>
        </w:rPr>
      </w:pPr>
      <w:r>
        <w:rPr>
          <w:rFonts w:hint="cs"/>
          <w:rtl/>
        </w:rPr>
        <w:t>بابوا غينيا الجديدة</w:t>
      </w:r>
    </w:p>
    <w:p w:rsidR="00C4617C" w:rsidRDefault="00C4617C" w:rsidP="00C4617C">
      <w:pPr>
        <w:pStyle w:val="NormalParaAR"/>
        <w:spacing w:after="0"/>
        <w:ind w:left="1701"/>
        <w:rPr>
          <w:rtl/>
        </w:rPr>
      </w:pPr>
      <w:r>
        <w:rPr>
          <w:rFonts w:hint="cs"/>
          <w:rtl/>
        </w:rPr>
        <w:lastRenderedPageBreak/>
        <w:t>بيرو</w:t>
      </w:r>
    </w:p>
    <w:p w:rsidR="00371B21" w:rsidRDefault="00371B21" w:rsidP="00C4617C">
      <w:pPr>
        <w:pStyle w:val="NormalParaAR"/>
        <w:spacing w:after="0"/>
        <w:ind w:left="1701"/>
        <w:rPr>
          <w:rtl/>
        </w:rPr>
      </w:pPr>
      <w:r>
        <w:rPr>
          <w:rFonts w:hint="cs"/>
          <w:rtl/>
        </w:rPr>
        <w:t>الفلبين</w:t>
      </w:r>
    </w:p>
    <w:p w:rsidR="00C4617C" w:rsidRDefault="00C4617C" w:rsidP="00C4617C">
      <w:pPr>
        <w:pStyle w:val="NormalParaAR"/>
        <w:spacing w:after="0"/>
        <w:ind w:left="1701"/>
        <w:rPr>
          <w:rtl/>
        </w:rPr>
      </w:pPr>
      <w:r>
        <w:rPr>
          <w:rFonts w:hint="cs"/>
          <w:rtl/>
        </w:rPr>
        <w:t>بولندا</w:t>
      </w:r>
    </w:p>
    <w:p w:rsidR="00C4617C" w:rsidRDefault="00C4617C" w:rsidP="00C4617C">
      <w:pPr>
        <w:pStyle w:val="NormalParaAR"/>
        <w:spacing w:after="0"/>
        <w:ind w:left="1701"/>
        <w:rPr>
          <w:rtl/>
        </w:rPr>
      </w:pPr>
      <w:r>
        <w:rPr>
          <w:rFonts w:hint="cs"/>
          <w:rtl/>
        </w:rPr>
        <w:t>جمهورية كوريا</w:t>
      </w:r>
    </w:p>
    <w:p w:rsidR="00C4617C" w:rsidRDefault="00C4617C" w:rsidP="00C4617C">
      <w:pPr>
        <w:pStyle w:val="NormalParaAR"/>
        <w:spacing w:after="0"/>
        <w:ind w:left="1701"/>
        <w:rPr>
          <w:rtl/>
        </w:rPr>
      </w:pPr>
      <w:r>
        <w:rPr>
          <w:rFonts w:hint="cs"/>
          <w:rtl/>
        </w:rPr>
        <w:t>رومانيا</w:t>
      </w:r>
    </w:p>
    <w:p w:rsidR="00C4617C" w:rsidRDefault="00C4617C" w:rsidP="00C4617C">
      <w:pPr>
        <w:pStyle w:val="NormalParaAR"/>
        <w:spacing w:after="0"/>
        <w:ind w:left="1701"/>
        <w:rPr>
          <w:rtl/>
        </w:rPr>
      </w:pPr>
      <w:r>
        <w:rPr>
          <w:rFonts w:hint="cs"/>
          <w:rtl/>
        </w:rPr>
        <w:t>الاتحاد الروسي</w:t>
      </w:r>
    </w:p>
    <w:p w:rsidR="00C4617C" w:rsidRDefault="00C4617C" w:rsidP="00C4617C">
      <w:pPr>
        <w:pStyle w:val="NormalParaAR"/>
        <w:spacing w:after="0"/>
        <w:ind w:left="1701"/>
        <w:rPr>
          <w:rtl/>
        </w:rPr>
      </w:pPr>
      <w:r>
        <w:rPr>
          <w:rFonts w:hint="cs"/>
          <w:rtl/>
        </w:rPr>
        <w:t>سانت كيتس ونيفس</w:t>
      </w:r>
    </w:p>
    <w:p w:rsidR="00C4617C" w:rsidRDefault="00C4617C" w:rsidP="00C4617C">
      <w:pPr>
        <w:pStyle w:val="NormalParaAR"/>
        <w:spacing w:after="0"/>
        <w:ind w:left="1701"/>
        <w:rPr>
          <w:rtl/>
        </w:rPr>
      </w:pPr>
      <w:r>
        <w:rPr>
          <w:rFonts w:hint="cs"/>
          <w:rtl/>
        </w:rPr>
        <w:t>ساموا</w:t>
      </w:r>
    </w:p>
    <w:p w:rsidR="00C4617C" w:rsidRDefault="00C4617C" w:rsidP="00C4617C">
      <w:pPr>
        <w:pStyle w:val="NormalParaAR"/>
        <w:spacing w:after="0"/>
        <w:ind w:left="1701"/>
        <w:rPr>
          <w:rtl/>
        </w:rPr>
      </w:pPr>
      <w:r>
        <w:rPr>
          <w:rFonts w:hint="cs"/>
          <w:rtl/>
        </w:rPr>
        <w:t>صربيا</w:t>
      </w:r>
    </w:p>
    <w:p w:rsidR="00C4617C" w:rsidRDefault="00C4617C" w:rsidP="00C4617C">
      <w:pPr>
        <w:pStyle w:val="NormalParaAR"/>
        <w:spacing w:after="0"/>
        <w:ind w:left="1701"/>
        <w:rPr>
          <w:rtl/>
        </w:rPr>
      </w:pPr>
      <w:r>
        <w:rPr>
          <w:rFonts w:hint="cs"/>
          <w:rtl/>
        </w:rPr>
        <w:t>سيشيل</w:t>
      </w:r>
    </w:p>
    <w:p w:rsidR="00C4617C" w:rsidRDefault="00C4617C" w:rsidP="00C4617C">
      <w:pPr>
        <w:pStyle w:val="NormalParaAR"/>
        <w:spacing w:after="0"/>
        <w:ind w:left="1701"/>
        <w:rPr>
          <w:rtl/>
        </w:rPr>
      </w:pPr>
      <w:r>
        <w:rPr>
          <w:rFonts w:hint="cs"/>
          <w:rtl/>
        </w:rPr>
        <w:t>سلوفاكيا</w:t>
      </w:r>
    </w:p>
    <w:p w:rsidR="00C4617C" w:rsidRDefault="00C4617C" w:rsidP="00C4617C">
      <w:pPr>
        <w:pStyle w:val="NormalParaAR"/>
        <w:spacing w:after="0"/>
        <w:ind w:left="1701"/>
        <w:rPr>
          <w:rtl/>
        </w:rPr>
      </w:pPr>
      <w:r>
        <w:rPr>
          <w:rFonts w:hint="cs"/>
          <w:rtl/>
        </w:rPr>
        <w:t>سلوفينيا</w:t>
      </w:r>
    </w:p>
    <w:p w:rsidR="00C4617C" w:rsidRDefault="00C4617C" w:rsidP="00C4617C">
      <w:pPr>
        <w:pStyle w:val="NormalParaAR"/>
        <w:spacing w:after="0"/>
        <w:ind w:left="1701"/>
        <w:rPr>
          <w:rtl/>
        </w:rPr>
      </w:pPr>
      <w:r>
        <w:rPr>
          <w:rFonts w:hint="cs"/>
          <w:rtl/>
        </w:rPr>
        <w:t>جنوب أفريقيا</w:t>
      </w:r>
    </w:p>
    <w:p w:rsidR="00C4617C" w:rsidRDefault="00C4617C" w:rsidP="00C4617C">
      <w:pPr>
        <w:pStyle w:val="NormalParaAR"/>
        <w:spacing w:after="0"/>
        <w:ind w:left="1701"/>
        <w:rPr>
          <w:rtl/>
        </w:rPr>
      </w:pPr>
      <w:r>
        <w:rPr>
          <w:rFonts w:hint="cs"/>
          <w:rtl/>
        </w:rPr>
        <w:t>سري لانكا</w:t>
      </w:r>
    </w:p>
    <w:p w:rsidR="00C4617C" w:rsidRDefault="00C4617C" w:rsidP="00C4617C">
      <w:pPr>
        <w:pStyle w:val="NormalParaAR"/>
        <w:spacing w:after="0"/>
        <w:ind w:left="1701"/>
        <w:rPr>
          <w:rtl/>
        </w:rPr>
      </w:pPr>
      <w:r>
        <w:rPr>
          <w:rFonts w:hint="cs"/>
          <w:rtl/>
        </w:rPr>
        <w:t>سوازيلند</w:t>
      </w:r>
    </w:p>
    <w:p w:rsidR="00C4617C" w:rsidRDefault="00C4617C" w:rsidP="00C4617C">
      <w:pPr>
        <w:pStyle w:val="NormalParaAR"/>
        <w:spacing w:after="0"/>
        <w:ind w:left="1701"/>
        <w:rPr>
          <w:rtl/>
        </w:rPr>
      </w:pPr>
      <w:r>
        <w:rPr>
          <w:rFonts w:hint="cs"/>
          <w:rtl/>
        </w:rPr>
        <w:t>السويد</w:t>
      </w:r>
    </w:p>
    <w:p w:rsidR="00C4617C" w:rsidRDefault="00C4617C" w:rsidP="00C4617C">
      <w:pPr>
        <w:pStyle w:val="NormalParaAR"/>
        <w:spacing w:after="0"/>
        <w:ind w:left="1701"/>
        <w:rPr>
          <w:rtl/>
        </w:rPr>
      </w:pPr>
      <w:r>
        <w:rPr>
          <w:rFonts w:hint="cs"/>
          <w:rtl/>
        </w:rPr>
        <w:t>طاجيكستان</w:t>
      </w:r>
    </w:p>
    <w:p w:rsidR="00C4617C" w:rsidRDefault="00C4617C" w:rsidP="00C4617C">
      <w:pPr>
        <w:pStyle w:val="NormalParaAR"/>
        <w:spacing w:after="0"/>
        <w:ind w:left="1701"/>
        <w:rPr>
          <w:rtl/>
        </w:rPr>
      </w:pPr>
      <w:r>
        <w:rPr>
          <w:rFonts w:hint="cs"/>
          <w:rtl/>
        </w:rPr>
        <w:t>تايلند</w:t>
      </w:r>
    </w:p>
    <w:p w:rsidR="00C4617C" w:rsidRDefault="00C4617C" w:rsidP="00C4617C">
      <w:pPr>
        <w:pStyle w:val="NormalParaAR"/>
        <w:spacing w:after="0"/>
        <w:ind w:left="1701"/>
        <w:rPr>
          <w:rtl/>
        </w:rPr>
      </w:pPr>
      <w:r>
        <w:rPr>
          <w:rFonts w:hint="cs"/>
          <w:rtl/>
        </w:rPr>
        <w:t>تونغا</w:t>
      </w:r>
    </w:p>
    <w:p w:rsidR="00C4617C" w:rsidRDefault="00C4617C" w:rsidP="00C4617C">
      <w:pPr>
        <w:pStyle w:val="NormalParaAR"/>
        <w:spacing w:after="0"/>
        <w:ind w:left="1701"/>
        <w:rPr>
          <w:rtl/>
        </w:rPr>
      </w:pPr>
      <w:r>
        <w:rPr>
          <w:rFonts w:hint="cs"/>
          <w:rtl/>
        </w:rPr>
        <w:t>ترينيداد وتوباغو</w:t>
      </w:r>
    </w:p>
    <w:p w:rsidR="00C4617C" w:rsidRDefault="00C4617C" w:rsidP="00C4617C">
      <w:pPr>
        <w:pStyle w:val="NormalParaAR"/>
        <w:spacing w:after="0"/>
        <w:ind w:left="1701"/>
        <w:rPr>
          <w:rtl/>
        </w:rPr>
      </w:pPr>
      <w:r>
        <w:rPr>
          <w:rFonts w:hint="cs"/>
          <w:rtl/>
        </w:rPr>
        <w:t>تركيا</w:t>
      </w:r>
    </w:p>
    <w:p w:rsidR="00C4617C" w:rsidRDefault="00C4617C" w:rsidP="00C4617C">
      <w:pPr>
        <w:pStyle w:val="NormalParaAR"/>
        <w:spacing w:after="0"/>
        <w:ind w:left="1701"/>
        <w:rPr>
          <w:rtl/>
        </w:rPr>
      </w:pPr>
      <w:r>
        <w:rPr>
          <w:rFonts w:hint="cs"/>
          <w:rtl/>
        </w:rPr>
        <w:t>أوغندا</w:t>
      </w:r>
    </w:p>
    <w:p w:rsidR="00C4617C" w:rsidRDefault="00C4617C" w:rsidP="00C4617C">
      <w:pPr>
        <w:pStyle w:val="NormalParaAR"/>
        <w:spacing w:after="0"/>
        <w:ind w:left="1701"/>
        <w:rPr>
          <w:rtl/>
        </w:rPr>
      </w:pPr>
      <w:r>
        <w:rPr>
          <w:rFonts w:hint="cs"/>
          <w:rtl/>
        </w:rPr>
        <w:t>أوكرانيا</w:t>
      </w:r>
    </w:p>
    <w:p w:rsidR="00C4617C" w:rsidRDefault="00C4617C" w:rsidP="00C4617C">
      <w:pPr>
        <w:pStyle w:val="NormalParaAR"/>
        <w:spacing w:after="0"/>
        <w:ind w:left="1701"/>
        <w:rPr>
          <w:rtl/>
        </w:rPr>
      </w:pPr>
      <w:r>
        <w:rPr>
          <w:rFonts w:hint="cs"/>
          <w:rtl/>
        </w:rPr>
        <w:t>الإمارات العربية المتحدة</w:t>
      </w:r>
    </w:p>
    <w:p w:rsidR="00C4617C" w:rsidRDefault="00C4617C" w:rsidP="00C4617C">
      <w:pPr>
        <w:pStyle w:val="NormalParaAR"/>
        <w:spacing w:after="0"/>
        <w:ind w:left="1701"/>
        <w:rPr>
          <w:rtl/>
        </w:rPr>
      </w:pPr>
      <w:r>
        <w:rPr>
          <w:rFonts w:hint="cs"/>
          <w:rtl/>
        </w:rPr>
        <w:t>جمهورية تنزانيا المتحدة</w:t>
      </w:r>
    </w:p>
    <w:p w:rsidR="00C4617C" w:rsidRDefault="00C4617C" w:rsidP="00C4617C">
      <w:pPr>
        <w:pStyle w:val="NormalParaAR"/>
        <w:spacing w:after="0"/>
        <w:ind w:left="1701"/>
        <w:rPr>
          <w:rtl/>
        </w:rPr>
      </w:pPr>
      <w:r>
        <w:rPr>
          <w:rFonts w:hint="cs"/>
          <w:rtl/>
        </w:rPr>
        <w:t>الولايات المتحدة الأمريكية</w:t>
      </w:r>
    </w:p>
    <w:p w:rsidR="00C4617C" w:rsidRDefault="00C4617C" w:rsidP="00C4617C">
      <w:pPr>
        <w:pStyle w:val="NormalParaAR"/>
        <w:spacing w:after="0"/>
        <w:ind w:left="1701"/>
        <w:rPr>
          <w:rtl/>
        </w:rPr>
      </w:pPr>
      <w:r>
        <w:rPr>
          <w:rFonts w:hint="cs"/>
          <w:rtl/>
        </w:rPr>
        <w:t>فانواتو</w:t>
      </w:r>
    </w:p>
    <w:p w:rsidR="00C4617C" w:rsidRDefault="00C4617C" w:rsidP="00C4617C">
      <w:pPr>
        <w:pStyle w:val="NormalParaAR"/>
        <w:spacing w:after="0"/>
        <w:ind w:left="1701"/>
        <w:rPr>
          <w:rtl/>
        </w:rPr>
      </w:pPr>
      <w:r>
        <w:rPr>
          <w:rFonts w:hint="cs"/>
          <w:rtl/>
        </w:rPr>
        <w:t>اليمن</w:t>
      </w:r>
    </w:p>
    <w:p w:rsidR="00C4617C" w:rsidRDefault="00C4617C" w:rsidP="00C4617C">
      <w:pPr>
        <w:pStyle w:val="NormalParaAR"/>
        <w:spacing w:after="0"/>
        <w:ind w:left="1701"/>
        <w:rPr>
          <w:rtl/>
        </w:rPr>
      </w:pPr>
      <w:r>
        <w:rPr>
          <w:rFonts w:hint="cs"/>
          <w:rtl/>
        </w:rPr>
        <w:t>زامبيا</w:t>
      </w:r>
    </w:p>
    <w:p w:rsidR="00C4617C" w:rsidRDefault="00C4617C" w:rsidP="00C4617C">
      <w:pPr>
        <w:pStyle w:val="NormalParaAR"/>
        <w:spacing w:after="0"/>
        <w:ind w:left="1701"/>
        <w:rPr>
          <w:rtl/>
        </w:rPr>
      </w:pPr>
      <w:r>
        <w:rPr>
          <w:rFonts w:hint="cs"/>
          <w:rtl/>
        </w:rPr>
        <w:t>زمبابوي.</w:t>
      </w:r>
    </w:p>
    <w:p w:rsidR="00C4617C" w:rsidRDefault="00C4617C" w:rsidP="00C4617C">
      <w:pPr>
        <w:pStyle w:val="NumberedParaAR"/>
        <w:numPr>
          <w:ilvl w:val="0"/>
          <w:numId w:val="0"/>
        </w:numPr>
        <w:spacing w:after="0"/>
        <w:ind w:firstLine="566"/>
        <w:rPr>
          <w:rtl/>
        </w:rPr>
        <w:sectPr w:rsidR="00C4617C" w:rsidSect="00C4617C">
          <w:type w:val="continuous"/>
          <w:pgSz w:w="11907" w:h="16840" w:code="9"/>
          <w:pgMar w:top="567" w:right="1418" w:bottom="1418" w:left="1134" w:header="510" w:footer="1021" w:gutter="0"/>
          <w:cols w:num="2" w:space="284"/>
          <w:titlePg/>
          <w:bidi/>
          <w:docGrid w:linePitch="299"/>
        </w:sectPr>
      </w:pPr>
    </w:p>
    <w:p w:rsidR="00C4617C" w:rsidRDefault="00C4617C" w:rsidP="00C4617C">
      <w:pPr>
        <w:pStyle w:val="NumberedParaAR"/>
        <w:numPr>
          <w:ilvl w:val="0"/>
          <w:numId w:val="0"/>
        </w:numPr>
        <w:spacing w:after="0"/>
        <w:ind w:firstLine="566"/>
        <w:rPr>
          <w:rtl/>
        </w:rPr>
      </w:pPr>
    </w:p>
    <w:p w:rsidR="001667B6" w:rsidRPr="007F38D1" w:rsidRDefault="00F4020F" w:rsidP="00C326A1">
      <w:pPr>
        <w:pStyle w:val="EndofDocumentAR"/>
        <w:spacing w:after="0" w:line="320" w:lineRule="exact"/>
      </w:pPr>
      <w:r>
        <w:rPr>
          <w:rFonts w:hint="cs"/>
          <w:rtl/>
        </w:rPr>
        <w:t>[نهاية الوثيقة]</w:t>
      </w:r>
    </w:p>
    <w:sectPr w:rsidR="001667B6" w:rsidRPr="007F38D1" w:rsidSect="00C4617C">
      <w:type w:val="continuous"/>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20F" w:rsidRDefault="00F4020F">
      <w:r>
        <w:separator/>
      </w:r>
    </w:p>
  </w:endnote>
  <w:endnote w:type="continuationSeparator" w:id="0">
    <w:p w:rsidR="00F4020F" w:rsidRDefault="00F4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20F" w:rsidRDefault="00F4020F" w:rsidP="009622BF">
      <w:pPr>
        <w:bidi/>
      </w:pPr>
      <w:bookmarkStart w:id="0" w:name="OLE_LINK1"/>
      <w:bookmarkStart w:id="1" w:name="OLE_LINK2"/>
      <w:r>
        <w:separator/>
      </w:r>
      <w:bookmarkEnd w:id="0"/>
      <w:bookmarkEnd w:id="1"/>
    </w:p>
  </w:footnote>
  <w:footnote w:type="continuationSeparator" w:id="0">
    <w:p w:rsidR="00F4020F" w:rsidRDefault="00F4020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D7D25" w:rsidP="00C326A1">
    <w:r>
      <w:t>VIP/</w:t>
    </w:r>
    <w:r w:rsidR="00824267">
      <w:t>DC</w:t>
    </w:r>
    <w:r w:rsidR="002F77FC">
      <w:t>/</w:t>
    </w:r>
    <w:r w:rsidR="00C326A1">
      <w:t>7</w:t>
    </w:r>
  </w:p>
  <w:p w:rsidR="002F77FC" w:rsidRDefault="002F77FC" w:rsidP="00D61541">
    <w:r>
      <w:fldChar w:fldCharType="begin"/>
    </w:r>
    <w:r>
      <w:instrText xml:space="preserve"> PAGE  \* MERGEFORMAT </w:instrText>
    </w:r>
    <w:r>
      <w:fldChar w:fldCharType="separate"/>
    </w:r>
    <w:r w:rsidR="00395643">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20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6E21"/>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53A"/>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B98"/>
    <w:rsid w:val="001A098F"/>
    <w:rsid w:val="001A10CB"/>
    <w:rsid w:val="001A110B"/>
    <w:rsid w:val="001A149A"/>
    <w:rsid w:val="001A2AB7"/>
    <w:rsid w:val="001A4A9C"/>
    <w:rsid w:val="001A6B88"/>
    <w:rsid w:val="001A6C33"/>
    <w:rsid w:val="001A6E68"/>
    <w:rsid w:val="001B3131"/>
    <w:rsid w:val="001B4B2F"/>
    <w:rsid w:val="001B769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20E"/>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2AD5"/>
    <w:rsid w:val="002A3C9D"/>
    <w:rsid w:val="002A5403"/>
    <w:rsid w:val="002A6C9F"/>
    <w:rsid w:val="002A77F3"/>
    <w:rsid w:val="002B14F0"/>
    <w:rsid w:val="002B1F0F"/>
    <w:rsid w:val="002B53D3"/>
    <w:rsid w:val="002B57CA"/>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D25"/>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5CD"/>
    <w:rsid w:val="003612D8"/>
    <w:rsid w:val="003637B6"/>
    <w:rsid w:val="00363F89"/>
    <w:rsid w:val="00363FB0"/>
    <w:rsid w:val="003646D6"/>
    <w:rsid w:val="00364FC6"/>
    <w:rsid w:val="0036541D"/>
    <w:rsid w:val="00370504"/>
    <w:rsid w:val="00371814"/>
    <w:rsid w:val="00371B21"/>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643"/>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8F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A97"/>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B43"/>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1F2"/>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A7"/>
    <w:rsid w:val="00671AED"/>
    <w:rsid w:val="006725B5"/>
    <w:rsid w:val="00673521"/>
    <w:rsid w:val="00673767"/>
    <w:rsid w:val="00673F39"/>
    <w:rsid w:val="006744AB"/>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975"/>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267"/>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13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87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2650"/>
    <w:rsid w:val="00AF3291"/>
    <w:rsid w:val="00AF395E"/>
    <w:rsid w:val="00AF4D6A"/>
    <w:rsid w:val="00AF5D2C"/>
    <w:rsid w:val="00AF5D6E"/>
    <w:rsid w:val="00AF6318"/>
    <w:rsid w:val="00B0072E"/>
    <w:rsid w:val="00B03B63"/>
    <w:rsid w:val="00B04C8F"/>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26D"/>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1CA"/>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135"/>
    <w:rsid w:val="00C01804"/>
    <w:rsid w:val="00C026BC"/>
    <w:rsid w:val="00C02AD4"/>
    <w:rsid w:val="00C03869"/>
    <w:rsid w:val="00C07988"/>
    <w:rsid w:val="00C07C5E"/>
    <w:rsid w:val="00C10068"/>
    <w:rsid w:val="00C10AC5"/>
    <w:rsid w:val="00C12DAD"/>
    <w:rsid w:val="00C12E17"/>
    <w:rsid w:val="00C14741"/>
    <w:rsid w:val="00C1509C"/>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6A1"/>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617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099C"/>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497"/>
    <w:rsid w:val="00CB3677"/>
    <w:rsid w:val="00CB368F"/>
    <w:rsid w:val="00CB4C42"/>
    <w:rsid w:val="00CB4DFA"/>
    <w:rsid w:val="00CB7BD7"/>
    <w:rsid w:val="00CC4CB6"/>
    <w:rsid w:val="00CC4DB0"/>
    <w:rsid w:val="00CC5038"/>
    <w:rsid w:val="00CC5326"/>
    <w:rsid w:val="00CC7426"/>
    <w:rsid w:val="00CC7910"/>
    <w:rsid w:val="00CD0C20"/>
    <w:rsid w:val="00CD1A73"/>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7C7"/>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1D62"/>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E06"/>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319"/>
    <w:rsid w:val="00E84C5C"/>
    <w:rsid w:val="00E85533"/>
    <w:rsid w:val="00E85D21"/>
    <w:rsid w:val="00E86343"/>
    <w:rsid w:val="00E866CD"/>
    <w:rsid w:val="00E877ED"/>
    <w:rsid w:val="00E901FD"/>
    <w:rsid w:val="00E91964"/>
    <w:rsid w:val="00E91FB1"/>
    <w:rsid w:val="00E94468"/>
    <w:rsid w:val="00E94A0E"/>
    <w:rsid w:val="00E96226"/>
    <w:rsid w:val="00E96DDE"/>
    <w:rsid w:val="00EA04AE"/>
    <w:rsid w:val="00EA062F"/>
    <w:rsid w:val="00EA17A9"/>
    <w:rsid w:val="00EA3063"/>
    <w:rsid w:val="00EA311B"/>
    <w:rsid w:val="00EA36CA"/>
    <w:rsid w:val="00EA3D9C"/>
    <w:rsid w:val="00EA43C0"/>
    <w:rsid w:val="00EA4CB0"/>
    <w:rsid w:val="00EA52E8"/>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50E1"/>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20F"/>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C04"/>
    <w:rsid w:val="00FE6E94"/>
    <w:rsid w:val="00FE76CB"/>
    <w:rsid w:val="00FE7BD8"/>
    <w:rsid w:val="00FF12EF"/>
    <w:rsid w:val="00FF1D76"/>
    <w:rsid w:val="00FF309E"/>
    <w:rsid w:val="00FF3EE6"/>
    <w:rsid w:val="00FF434C"/>
    <w:rsid w:val="00FF4790"/>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97B98"/>
    <w:rPr>
      <w:rFonts w:ascii="Tahoma" w:hAnsi="Tahoma" w:cs="Tahoma"/>
      <w:sz w:val="16"/>
      <w:szCs w:val="16"/>
    </w:rPr>
  </w:style>
  <w:style w:type="character" w:customStyle="1" w:styleId="BalloonTextChar">
    <w:name w:val="Balloon Text Char"/>
    <w:basedOn w:val="DefaultParagraphFont"/>
    <w:link w:val="BalloonText"/>
    <w:rsid w:val="00197B98"/>
    <w:rPr>
      <w:rFonts w:ascii="Tahoma" w:hAnsi="Tahoma" w:cs="Tahoma"/>
      <w:sz w:val="16"/>
      <w:szCs w:val="16"/>
    </w:rPr>
  </w:style>
  <w:style w:type="character" w:customStyle="1" w:styleId="NormalParaARChar">
    <w:name w:val="Normal_Para_AR Char"/>
    <w:basedOn w:val="DefaultParagraphFont"/>
    <w:link w:val="NormalParaAR"/>
    <w:rsid w:val="00D91D62"/>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97B98"/>
    <w:rPr>
      <w:rFonts w:ascii="Tahoma" w:hAnsi="Tahoma" w:cs="Tahoma"/>
      <w:sz w:val="16"/>
      <w:szCs w:val="16"/>
    </w:rPr>
  </w:style>
  <w:style w:type="character" w:customStyle="1" w:styleId="BalloonTextChar">
    <w:name w:val="Balloon Text Char"/>
    <w:basedOn w:val="DefaultParagraphFont"/>
    <w:link w:val="BalloonText"/>
    <w:rsid w:val="00197B98"/>
    <w:rPr>
      <w:rFonts w:ascii="Tahoma" w:hAnsi="Tahoma" w:cs="Tahoma"/>
      <w:sz w:val="16"/>
      <w:szCs w:val="16"/>
    </w:rPr>
  </w:style>
  <w:style w:type="character" w:customStyle="1" w:styleId="NormalParaARChar">
    <w:name w:val="Normal_Para_AR Char"/>
    <w:basedOn w:val="DefaultParagraphFont"/>
    <w:link w:val="NormalParaAR"/>
    <w:rsid w:val="00D91D62"/>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FF962-4D52-48DA-B550-3E67711F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VIP/DC/7 (Arabic)</vt:lpstr>
    </vt:vector>
  </TitlesOfParts>
  <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VIP/DC/7 (Arabic)</dc:title>
  <dc:subject>التقرير الثاني للجنة فحص أوراق الاعتماد</dc:subject>
  <dc:creator>من إعداد الأمانة</dc:creator>
  <cp:lastModifiedBy>Raquel Cousin</cp:lastModifiedBy>
  <cp:revision>2</cp:revision>
  <cp:lastPrinted>2013-06-24T10:03:00Z</cp:lastPrinted>
  <dcterms:created xsi:type="dcterms:W3CDTF">2013-06-24T10:19:00Z</dcterms:created>
  <dcterms:modified xsi:type="dcterms:W3CDTF">2013-06-24T10:19:00Z</dcterms:modified>
</cp:coreProperties>
</file>